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DD5" w14:textId="77777777" w:rsidR="00F208A4" w:rsidRDefault="00F208A4" w:rsidP="00F208A4">
      <w:pPr>
        <w:pStyle w:val="Tablecaption0"/>
        <w:ind w:left="96"/>
        <w:rPr>
          <w:b w:val="0"/>
          <w:bCs w:val="0"/>
          <w:i/>
          <w:iCs/>
        </w:rPr>
      </w:pPr>
      <w:bookmarkStart w:id="0" w:name="_Hlk210814466"/>
      <w:r>
        <w:t xml:space="preserve">Lisa 1. Hankeleping </w:t>
      </w:r>
      <w:r w:rsidRPr="00825E42">
        <w:rPr>
          <w:b w:val="0"/>
          <w:bCs w:val="0"/>
          <w:i/>
          <w:iCs/>
        </w:rPr>
        <w:t>projekt</w:t>
      </w:r>
    </w:p>
    <w:p w14:paraId="5224EB83" w14:textId="6133D6C4" w:rsidR="00F208A4" w:rsidRDefault="00F208A4" w:rsidP="00F208A4">
      <w:pPr>
        <w:pStyle w:val="Tablecaption0"/>
        <w:ind w:left="96"/>
      </w:pPr>
      <w:r>
        <w:tab/>
      </w:r>
      <w:r>
        <w:tab/>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7110"/>
      </w:tblGrid>
      <w:tr w:rsidR="00F208A4" w:rsidRPr="00420C1A" w14:paraId="5C730A19" w14:textId="77777777" w:rsidTr="000126DF">
        <w:tc>
          <w:tcPr>
            <w:tcW w:w="9435" w:type="dxa"/>
            <w:gridSpan w:val="2"/>
            <w:tcBorders>
              <w:top w:val="single" w:sz="4" w:space="0" w:color="auto"/>
              <w:left w:val="single" w:sz="4" w:space="0" w:color="auto"/>
              <w:bottom w:val="single" w:sz="4" w:space="0" w:color="auto"/>
              <w:right w:val="single" w:sz="4" w:space="0" w:color="auto"/>
            </w:tcBorders>
          </w:tcPr>
          <w:p w14:paraId="37AF5595" w14:textId="77777777" w:rsidR="00F208A4" w:rsidRPr="00420C1A" w:rsidRDefault="00F208A4" w:rsidP="000126DF">
            <w:pPr>
              <w:jc w:val="both"/>
              <w:rPr>
                <w:rFonts w:ascii="Times New Roman" w:hAnsi="Times New Roman"/>
                <w:b/>
              </w:rPr>
            </w:pPr>
            <w:r w:rsidRPr="00420C1A">
              <w:rPr>
                <w:rFonts w:ascii="Times New Roman" w:hAnsi="Times New Roman"/>
                <w:b/>
              </w:rPr>
              <w:t>Poolte andmed</w:t>
            </w:r>
          </w:p>
        </w:tc>
      </w:tr>
      <w:tr w:rsidR="00F208A4" w:rsidRPr="00420C1A" w14:paraId="2825E944" w14:textId="77777777" w:rsidTr="000126DF">
        <w:tc>
          <w:tcPr>
            <w:tcW w:w="2325" w:type="dxa"/>
            <w:tcBorders>
              <w:top w:val="single" w:sz="4" w:space="0" w:color="auto"/>
            </w:tcBorders>
          </w:tcPr>
          <w:p w14:paraId="44573A2C" w14:textId="77777777" w:rsidR="00F208A4" w:rsidRPr="00420C1A" w:rsidRDefault="00F208A4" w:rsidP="000126DF">
            <w:pPr>
              <w:jc w:val="both"/>
              <w:rPr>
                <w:rFonts w:ascii="Times New Roman" w:hAnsi="Times New Roman"/>
                <w:b/>
              </w:rPr>
            </w:pPr>
            <w:r w:rsidRPr="00420C1A">
              <w:rPr>
                <w:rFonts w:ascii="Times New Roman" w:hAnsi="Times New Roman"/>
                <w:b/>
              </w:rPr>
              <w:t>Tellija</w:t>
            </w:r>
          </w:p>
        </w:tc>
        <w:tc>
          <w:tcPr>
            <w:tcW w:w="7110" w:type="dxa"/>
            <w:tcBorders>
              <w:top w:val="single" w:sz="4" w:space="0" w:color="auto"/>
            </w:tcBorders>
          </w:tcPr>
          <w:p w14:paraId="615F82B3" w14:textId="77777777" w:rsidR="00F208A4" w:rsidRPr="00420C1A" w:rsidRDefault="00F208A4" w:rsidP="000126DF">
            <w:pPr>
              <w:jc w:val="both"/>
              <w:rPr>
                <w:rFonts w:ascii="Times New Roman" w:hAnsi="Times New Roman"/>
                <w:b/>
              </w:rPr>
            </w:pPr>
            <w:r w:rsidRPr="00420C1A">
              <w:rPr>
                <w:rFonts w:ascii="Times New Roman" w:hAnsi="Times New Roman"/>
                <w:b/>
              </w:rPr>
              <w:t>Siseministeeriumi infotehnoloogia- ja arenduskeskus</w:t>
            </w:r>
          </w:p>
        </w:tc>
      </w:tr>
      <w:tr w:rsidR="00F208A4" w:rsidRPr="00420C1A" w14:paraId="55CC346C" w14:textId="77777777" w:rsidTr="000126DF">
        <w:tc>
          <w:tcPr>
            <w:tcW w:w="2325" w:type="dxa"/>
          </w:tcPr>
          <w:p w14:paraId="5172A02E" w14:textId="77777777" w:rsidR="00F208A4" w:rsidRPr="00420C1A" w:rsidRDefault="00F208A4" w:rsidP="000126DF">
            <w:pPr>
              <w:jc w:val="both"/>
              <w:rPr>
                <w:rFonts w:ascii="Times New Roman" w:hAnsi="Times New Roman"/>
              </w:rPr>
            </w:pPr>
            <w:r w:rsidRPr="00420C1A">
              <w:rPr>
                <w:rFonts w:ascii="Times New Roman" w:hAnsi="Times New Roman"/>
              </w:rPr>
              <w:t>Registrikood</w:t>
            </w:r>
          </w:p>
        </w:tc>
        <w:tc>
          <w:tcPr>
            <w:tcW w:w="7110" w:type="dxa"/>
          </w:tcPr>
          <w:p w14:paraId="3577F3AE" w14:textId="77777777" w:rsidR="00F208A4" w:rsidRPr="00420C1A" w:rsidRDefault="00F208A4" w:rsidP="000126DF">
            <w:pPr>
              <w:jc w:val="both"/>
              <w:rPr>
                <w:rFonts w:ascii="Times New Roman" w:hAnsi="Times New Roman"/>
              </w:rPr>
            </w:pPr>
            <w:r w:rsidRPr="00420C1A">
              <w:rPr>
                <w:rFonts w:ascii="Times New Roman" w:hAnsi="Times New Roman"/>
              </w:rPr>
              <w:t>70008440</w:t>
            </w:r>
          </w:p>
        </w:tc>
      </w:tr>
      <w:tr w:rsidR="00F208A4" w:rsidRPr="00420C1A" w14:paraId="1F08F8DF" w14:textId="77777777" w:rsidTr="000126DF">
        <w:tc>
          <w:tcPr>
            <w:tcW w:w="2325" w:type="dxa"/>
          </w:tcPr>
          <w:p w14:paraId="160407C0" w14:textId="77777777" w:rsidR="00F208A4" w:rsidRPr="00420C1A" w:rsidRDefault="00F208A4" w:rsidP="000126DF">
            <w:pPr>
              <w:jc w:val="both"/>
              <w:rPr>
                <w:rFonts w:ascii="Times New Roman" w:hAnsi="Times New Roman"/>
              </w:rPr>
            </w:pPr>
            <w:r w:rsidRPr="00420C1A">
              <w:rPr>
                <w:rFonts w:ascii="Times New Roman" w:hAnsi="Times New Roman"/>
              </w:rPr>
              <w:t>Aadress</w:t>
            </w:r>
          </w:p>
        </w:tc>
        <w:tc>
          <w:tcPr>
            <w:tcW w:w="7110" w:type="dxa"/>
          </w:tcPr>
          <w:p w14:paraId="33AA1589" w14:textId="77777777" w:rsidR="00F208A4" w:rsidRPr="00420C1A" w:rsidRDefault="00F208A4" w:rsidP="000126DF">
            <w:pPr>
              <w:jc w:val="both"/>
              <w:rPr>
                <w:rFonts w:ascii="Times New Roman" w:hAnsi="Times New Roman"/>
              </w:rPr>
            </w:pPr>
            <w:r w:rsidRPr="00420C1A">
              <w:rPr>
                <w:rFonts w:ascii="Times New Roman" w:hAnsi="Times New Roman"/>
              </w:rPr>
              <w:t>Mäealuse 2</w:t>
            </w:r>
            <w:r>
              <w:rPr>
                <w:rFonts w:ascii="Times New Roman" w:hAnsi="Times New Roman"/>
              </w:rPr>
              <w:t>/2</w:t>
            </w:r>
            <w:r w:rsidRPr="00420C1A">
              <w:rPr>
                <w:rFonts w:ascii="Times New Roman" w:hAnsi="Times New Roman"/>
              </w:rPr>
              <w:t>, 12618 Tallinn</w:t>
            </w:r>
          </w:p>
        </w:tc>
      </w:tr>
      <w:tr w:rsidR="00F208A4" w:rsidRPr="00420C1A" w14:paraId="45376E4A" w14:textId="77777777" w:rsidTr="000126DF">
        <w:tc>
          <w:tcPr>
            <w:tcW w:w="2325" w:type="dxa"/>
          </w:tcPr>
          <w:p w14:paraId="36403D28" w14:textId="77777777" w:rsidR="00F208A4" w:rsidRPr="00420C1A" w:rsidRDefault="00F208A4" w:rsidP="000126DF">
            <w:pPr>
              <w:jc w:val="both"/>
              <w:rPr>
                <w:rFonts w:ascii="Times New Roman" w:hAnsi="Times New Roman"/>
              </w:rPr>
            </w:pPr>
            <w:r w:rsidRPr="00420C1A">
              <w:rPr>
                <w:rFonts w:ascii="Times New Roman" w:hAnsi="Times New Roman"/>
              </w:rPr>
              <w:t>Tellija esindaja</w:t>
            </w:r>
          </w:p>
        </w:tc>
        <w:tc>
          <w:tcPr>
            <w:tcW w:w="7110" w:type="dxa"/>
          </w:tcPr>
          <w:p w14:paraId="5976FF92" w14:textId="77777777" w:rsidR="00F208A4" w:rsidRPr="00420C1A" w:rsidRDefault="00F208A4" w:rsidP="000126DF">
            <w:pPr>
              <w:jc w:val="both"/>
              <w:rPr>
                <w:rFonts w:ascii="Times New Roman" w:hAnsi="Times New Roman"/>
              </w:rPr>
            </w:pPr>
          </w:p>
        </w:tc>
      </w:tr>
      <w:tr w:rsidR="00F208A4" w:rsidRPr="000F0381" w14:paraId="30557567" w14:textId="77777777" w:rsidTr="000126DF">
        <w:tc>
          <w:tcPr>
            <w:tcW w:w="2325" w:type="dxa"/>
          </w:tcPr>
          <w:p w14:paraId="7A8ED616" w14:textId="77777777" w:rsidR="00F208A4" w:rsidRPr="00420C1A" w:rsidRDefault="00F208A4" w:rsidP="000126DF">
            <w:pPr>
              <w:jc w:val="both"/>
              <w:rPr>
                <w:rFonts w:ascii="Times New Roman" w:hAnsi="Times New Roman"/>
              </w:rPr>
            </w:pPr>
            <w:r w:rsidRPr="00420C1A">
              <w:rPr>
                <w:rFonts w:ascii="Times New Roman" w:hAnsi="Times New Roman"/>
              </w:rPr>
              <w:t>Esinduse alus</w:t>
            </w:r>
          </w:p>
        </w:tc>
        <w:tc>
          <w:tcPr>
            <w:tcW w:w="7110" w:type="dxa"/>
          </w:tcPr>
          <w:p w14:paraId="54B7F597" w14:textId="77777777" w:rsidR="00F208A4" w:rsidRPr="000F0381" w:rsidRDefault="00F208A4" w:rsidP="000126DF">
            <w:pPr>
              <w:jc w:val="both"/>
              <w:rPr>
                <w:rFonts w:ascii="Times New Roman" w:hAnsi="Times New Roman"/>
                <w:i/>
              </w:rPr>
            </w:pPr>
            <w:r w:rsidRPr="000F0381">
              <w:rPr>
                <w:rFonts w:ascii="Times New Roman" w:hAnsi="Times New Roman"/>
                <w:i/>
              </w:rPr>
              <w:t>Põhimäärus/volik</w:t>
            </w:r>
            <w:r>
              <w:rPr>
                <w:rFonts w:ascii="Times New Roman" w:hAnsi="Times New Roman"/>
                <w:i/>
              </w:rPr>
              <w:t>iri</w:t>
            </w:r>
          </w:p>
        </w:tc>
      </w:tr>
      <w:tr w:rsidR="00F208A4" w:rsidRPr="009613C3" w14:paraId="4D5C3E06" w14:textId="77777777" w:rsidTr="000126DF">
        <w:tc>
          <w:tcPr>
            <w:tcW w:w="2325" w:type="dxa"/>
            <w:tcBorders>
              <w:bottom w:val="single" w:sz="4" w:space="0" w:color="auto"/>
            </w:tcBorders>
          </w:tcPr>
          <w:p w14:paraId="5985B833" w14:textId="77777777" w:rsidR="00F208A4" w:rsidRPr="00420C1A" w:rsidRDefault="00F208A4" w:rsidP="000126DF">
            <w:pPr>
              <w:jc w:val="both"/>
              <w:rPr>
                <w:rFonts w:ascii="Times New Roman" w:hAnsi="Times New Roman"/>
              </w:rPr>
            </w:pPr>
            <w:r w:rsidRPr="00420C1A">
              <w:rPr>
                <w:rFonts w:ascii="Times New Roman" w:hAnsi="Times New Roman"/>
              </w:rPr>
              <w:t>Kontaktisikud</w:t>
            </w:r>
          </w:p>
        </w:tc>
        <w:tc>
          <w:tcPr>
            <w:tcW w:w="7110" w:type="dxa"/>
            <w:tcBorders>
              <w:bottom w:val="single" w:sz="4" w:space="0" w:color="auto"/>
            </w:tcBorders>
          </w:tcPr>
          <w:p w14:paraId="79F856D0" w14:textId="1CE2E65C" w:rsidR="00F208A4" w:rsidRDefault="00F208A4" w:rsidP="00F208A4">
            <w:pPr>
              <w:pStyle w:val="ListParagraph"/>
              <w:numPr>
                <w:ilvl w:val="0"/>
                <w:numId w:val="3"/>
              </w:numPr>
              <w:jc w:val="both"/>
              <w:rPr>
                <w:rFonts w:ascii="Times New Roman" w:hAnsi="Times New Roman"/>
                <w:iCs/>
              </w:rPr>
            </w:pPr>
            <w:r w:rsidRPr="006C0847">
              <w:rPr>
                <w:rFonts w:ascii="Times New Roman" w:hAnsi="Times New Roman"/>
                <w:iCs/>
              </w:rPr>
              <w:t>Silver Metsatsirk,</w:t>
            </w:r>
            <w:r>
              <w:rPr>
                <w:rFonts w:ascii="Times New Roman" w:hAnsi="Times New Roman"/>
                <w:iCs/>
              </w:rPr>
              <w:t xml:space="preserve"> tarkvarahaldur,</w:t>
            </w:r>
            <w:r w:rsidRPr="006C0847">
              <w:rPr>
                <w:rFonts w:ascii="Times New Roman" w:hAnsi="Times New Roman"/>
                <w:iCs/>
              </w:rPr>
              <w:t xml:space="preserve"> </w:t>
            </w:r>
            <w:hyperlink r:id="rId8" w:history="1">
              <w:r w:rsidRPr="006C0847">
                <w:rPr>
                  <w:rStyle w:val="Hyperlink"/>
                  <w:rFonts w:ascii="Times New Roman" w:hAnsi="Times New Roman"/>
                  <w:iCs/>
                </w:rPr>
                <w:t>Silver.metsatsirk@smit.ee</w:t>
              </w:r>
            </w:hyperlink>
            <w:r w:rsidRPr="006C0847">
              <w:rPr>
                <w:rFonts w:ascii="Times New Roman" w:hAnsi="Times New Roman"/>
                <w:iCs/>
              </w:rPr>
              <w:t>, 5194 9707</w:t>
            </w:r>
            <w:r w:rsidR="009739FD">
              <w:rPr>
                <w:rFonts w:ascii="Times New Roman" w:hAnsi="Times New Roman"/>
                <w:iCs/>
              </w:rPr>
              <w:t>, või tema asendaja</w:t>
            </w:r>
            <w:r>
              <w:rPr>
                <w:rFonts w:ascii="Times New Roman" w:hAnsi="Times New Roman"/>
                <w:iCs/>
              </w:rPr>
              <w:t>;</w:t>
            </w:r>
          </w:p>
          <w:p w14:paraId="1E0BB971" w14:textId="77777777" w:rsidR="009739FD" w:rsidRPr="009739FD" w:rsidRDefault="009739FD" w:rsidP="00F208A4">
            <w:pPr>
              <w:pStyle w:val="ListParagraph"/>
              <w:numPr>
                <w:ilvl w:val="0"/>
                <w:numId w:val="3"/>
              </w:numPr>
              <w:jc w:val="both"/>
              <w:rPr>
                <w:rFonts w:ascii="Times New Roman" w:hAnsi="Times New Roman"/>
                <w:i/>
              </w:rPr>
            </w:pPr>
            <w:r>
              <w:rPr>
                <w:rFonts w:ascii="Times New Roman" w:hAnsi="Times New Roman"/>
                <w:iCs/>
              </w:rPr>
              <w:t xml:space="preserve">Tarvo Kesküla, juhataja, </w:t>
            </w:r>
            <w:hyperlink r:id="rId9" w:history="1">
              <w:r w:rsidRPr="00230A8A">
                <w:rPr>
                  <w:rStyle w:val="Hyperlink"/>
                  <w:rFonts w:ascii="Times New Roman" w:hAnsi="Times New Roman"/>
                  <w:iCs/>
                </w:rPr>
                <w:t>tarvo.keskyla@smit.ee</w:t>
              </w:r>
            </w:hyperlink>
            <w:r>
              <w:rPr>
                <w:rFonts w:ascii="Times New Roman" w:hAnsi="Times New Roman"/>
                <w:iCs/>
              </w:rPr>
              <w:t xml:space="preserve">, </w:t>
            </w:r>
            <w:r w:rsidRPr="009739FD">
              <w:rPr>
                <w:rFonts w:ascii="Times New Roman" w:hAnsi="Times New Roman"/>
                <w:iCs/>
              </w:rPr>
              <w:t>5348 8008</w:t>
            </w:r>
            <w:r>
              <w:rPr>
                <w:rFonts w:ascii="Times New Roman" w:hAnsi="Times New Roman"/>
                <w:iCs/>
              </w:rPr>
              <w:t xml:space="preserve">, või tema asendaja; </w:t>
            </w:r>
          </w:p>
          <w:p w14:paraId="4727650B" w14:textId="57DB95B9" w:rsidR="00F208A4" w:rsidRPr="009739FD" w:rsidRDefault="00F208A4" w:rsidP="00F208A4">
            <w:pPr>
              <w:pStyle w:val="ListParagraph"/>
              <w:numPr>
                <w:ilvl w:val="0"/>
                <w:numId w:val="3"/>
              </w:numPr>
              <w:jc w:val="both"/>
              <w:rPr>
                <w:rFonts w:ascii="Times New Roman" w:hAnsi="Times New Roman"/>
                <w:i/>
              </w:rPr>
            </w:pPr>
            <w:r w:rsidRPr="009739FD">
              <w:rPr>
                <w:rFonts w:ascii="Times New Roman" w:hAnsi="Times New Roman"/>
                <w:i/>
              </w:rPr>
              <w:t>…</w:t>
            </w:r>
          </w:p>
        </w:tc>
      </w:tr>
      <w:tr w:rsidR="00F208A4" w:rsidRPr="00647B1B" w14:paraId="1157AFA8" w14:textId="77777777" w:rsidTr="000126DF">
        <w:tc>
          <w:tcPr>
            <w:tcW w:w="9435" w:type="dxa"/>
            <w:gridSpan w:val="2"/>
            <w:tcBorders>
              <w:top w:val="single" w:sz="4" w:space="0" w:color="auto"/>
              <w:left w:val="single" w:sz="4" w:space="0" w:color="000000"/>
              <w:bottom w:val="single" w:sz="4" w:space="0" w:color="000000"/>
              <w:right w:val="single" w:sz="4" w:space="0" w:color="000000"/>
            </w:tcBorders>
          </w:tcPr>
          <w:p w14:paraId="66C43CA7" w14:textId="77777777" w:rsidR="00F208A4" w:rsidRPr="00647B1B" w:rsidRDefault="00F208A4" w:rsidP="000126DF">
            <w:pPr>
              <w:jc w:val="both"/>
              <w:rPr>
                <w:rFonts w:ascii="Times New Roman" w:hAnsi="Times New Roman"/>
              </w:rPr>
            </w:pPr>
          </w:p>
        </w:tc>
      </w:tr>
      <w:tr w:rsidR="00C77FAC" w:rsidRPr="00420C1A" w14:paraId="6A64D83B" w14:textId="77777777" w:rsidTr="000126DF">
        <w:tc>
          <w:tcPr>
            <w:tcW w:w="2325" w:type="dxa"/>
            <w:tcBorders>
              <w:top w:val="single" w:sz="4" w:space="0" w:color="auto"/>
              <w:left w:val="single" w:sz="4" w:space="0" w:color="000000"/>
              <w:bottom w:val="single" w:sz="4" w:space="0" w:color="000000"/>
              <w:right w:val="single" w:sz="4" w:space="0" w:color="000000"/>
            </w:tcBorders>
          </w:tcPr>
          <w:p w14:paraId="5D925FE6" w14:textId="42FE555D" w:rsidR="00C77FAC" w:rsidRPr="00420C1A" w:rsidRDefault="00C77FAC" w:rsidP="00C77FAC">
            <w:pPr>
              <w:jc w:val="both"/>
              <w:rPr>
                <w:rFonts w:ascii="Times New Roman" w:hAnsi="Times New Roman"/>
                <w:b/>
              </w:rPr>
            </w:pPr>
            <w:r w:rsidRPr="00C77FAC">
              <w:rPr>
                <w:rFonts w:ascii="Times New Roman" w:hAnsi="Times New Roman"/>
                <w:b/>
              </w:rPr>
              <w:t>Maksja</w:t>
            </w:r>
          </w:p>
        </w:tc>
        <w:tc>
          <w:tcPr>
            <w:tcW w:w="7110" w:type="dxa"/>
            <w:tcBorders>
              <w:top w:val="single" w:sz="4" w:space="0" w:color="auto"/>
              <w:left w:val="single" w:sz="4" w:space="0" w:color="000000"/>
              <w:bottom w:val="single" w:sz="4" w:space="0" w:color="000000"/>
              <w:right w:val="single" w:sz="4" w:space="0" w:color="000000"/>
            </w:tcBorders>
          </w:tcPr>
          <w:p w14:paraId="5375D478" w14:textId="321DB30E" w:rsidR="00C77FAC" w:rsidRPr="00C77FAC" w:rsidRDefault="00C77FAC" w:rsidP="00C77FAC">
            <w:pPr>
              <w:jc w:val="both"/>
              <w:rPr>
                <w:rFonts w:ascii="Times New Roman" w:hAnsi="Times New Roman"/>
                <w:b/>
              </w:rPr>
            </w:pPr>
            <w:bookmarkStart w:id="1" w:name="_Hlk214462456"/>
            <w:r w:rsidRPr="00C77FAC">
              <w:rPr>
                <w:rFonts w:ascii="Times New Roman" w:hAnsi="Times New Roman"/>
                <w:b/>
              </w:rPr>
              <w:t>Politsei- ja Piirivalveamet</w:t>
            </w:r>
            <w:bookmarkEnd w:id="1"/>
          </w:p>
        </w:tc>
      </w:tr>
      <w:tr w:rsidR="00C77FAC" w:rsidRPr="00420C1A" w14:paraId="437EFA8B" w14:textId="77777777" w:rsidTr="000126DF">
        <w:tc>
          <w:tcPr>
            <w:tcW w:w="2325" w:type="dxa"/>
            <w:tcBorders>
              <w:top w:val="single" w:sz="4" w:space="0" w:color="auto"/>
              <w:left w:val="single" w:sz="4" w:space="0" w:color="000000"/>
              <w:bottom w:val="single" w:sz="4" w:space="0" w:color="000000"/>
              <w:right w:val="single" w:sz="4" w:space="0" w:color="000000"/>
            </w:tcBorders>
          </w:tcPr>
          <w:p w14:paraId="75B0CAA8" w14:textId="386AEF36" w:rsidR="00C77FAC" w:rsidRPr="00C77FAC" w:rsidRDefault="00C77FAC" w:rsidP="00C77FAC">
            <w:pPr>
              <w:jc w:val="both"/>
              <w:rPr>
                <w:rFonts w:ascii="Times New Roman" w:hAnsi="Times New Roman"/>
              </w:rPr>
            </w:pPr>
            <w:r w:rsidRPr="00C77FAC">
              <w:rPr>
                <w:rFonts w:ascii="Times New Roman" w:hAnsi="Times New Roman"/>
              </w:rPr>
              <w:t>Registrikood</w:t>
            </w:r>
          </w:p>
        </w:tc>
        <w:tc>
          <w:tcPr>
            <w:tcW w:w="7110" w:type="dxa"/>
            <w:tcBorders>
              <w:top w:val="single" w:sz="4" w:space="0" w:color="auto"/>
              <w:left w:val="single" w:sz="4" w:space="0" w:color="000000"/>
              <w:bottom w:val="single" w:sz="4" w:space="0" w:color="000000"/>
              <w:right w:val="single" w:sz="4" w:space="0" w:color="000000"/>
            </w:tcBorders>
          </w:tcPr>
          <w:p w14:paraId="1A5B8160" w14:textId="7967BD43" w:rsidR="00C77FAC" w:rsidRPr="00C77FAC" w:rsidRDefault="00C77FAC" w:rsidP="00C77FAC">
            <w:pPr>
              <w:jc w:val="both"/>
              <w:rPr>
                <w:rFonts w:ascii="Times New Roman" w:hAnsi="Times New Roman"/>
              </w:rPr>
            </w:pPr>
            <w:r w:rsidRPr="00C77FAC">
              <w:rPr>
                <w:rFonts w:ascii="Times New Roman" w:hAnsi="Times New Roman"/>
              </w:rPr>
              <w:t>70008747</w:t>
            </w:r>
          </w:p>
        </w:tc>
      </w:tr>
      <w:tr w:rsidR="00C77FAC" w:rsidRPr="00420C1A" w14:paraId="033BC705" w14:textId="77777777" w:rsidTr="000126DF">
        <w:tc>
          <w:tcPr>
            <w:tcW w:w="2325" w:type="dxa"/>
            <w:tcBorders>
              <w:top w:val="single" w:sz="4" w:space="0" w:color="auto"/>
              <w:left w:val="single" w:sz="4" w:space="0" w:color="000000"/>
              <w:bottom w:val="single" w:sz="4" w:space="0" w:color="000000"/>
              <w:right w:val="single" w:sz="4" w:space="0" w:color="000000"/>
            </w:tcBorders>
          </w:tcPr>
          <w:p w14:paraId="6BFE3376" w14:textId="3C99FA5E" w:rsidR="00C77FAC" w:rsidRPr="00C77FAC" w:rsidRDefault="00C77FAC" w:rsidP="00C77FAC">
            <w:pPr>
              <w:jc w:val="both"/>
              <w:rPr>
                <w:rFonts w:ascii="Times New Roman" w:hAnsi="Times New Roman"/>
              </w:rPr>
            </w:pPr>
            <w:r>
              <w:rPr>
                <w:rFonts w:ascii="Times New Roman" w:hAnsi="Times New Roman"/>
              </w:rPr>
              <w:t>Aadress</w:t>
            </w:r>
          </w:p>
        </w:tc>
        <w:tc>
          <w:tcPr>
            <w:tcW w:w="7110" w:type="dxa"/>
            <w:tcBorders>
              <w:top w:val="single" w:sz="4" w:space="0" w:color="auto"/>
              <w:left w:val="single" w:sz="4" w:space="0" w:color="000000"/>
              <w:bottom w:val="single" w:sz="4" w:space="0" w:color="000000"/>
              <w:right w:val="single" w:sz="4" w:space="0" w:color="000000"/>
            </w:tcBorders>
          </w:tcPr>
          <w:p w14:paraId="120920CB" w14:textId="7F608DC5" w:rsidR="00C77FAC" w:rsidRPr="00C77FAC" w:rsidRDefault="00C77FAC" w:rsidP="00C77FAC">
            <w:pPr>
              <w:jc w:val="both"/>
              <w:rPr>
                <w:rFonts w:ascii="Times New Roman" w:hAnsi="Times New Roman"/>
              </w:rPr>
            </w:pPr>
            <w:r>
              <w:rPr>
                <w:rFonts w:ascii="Times New Roman" w:hAnsi="Times New Roman"/>
              </w:rPr>
              <w:t>Pärnu mnt 139, 15060 Tallinn</w:t>
            </w:r>
          </w:p>
        </w:tc>
      </w:tr>
      <w:tr w:rsidR="00C77FAC" w:rsidRPr="00420C1A" w14:paraId="21E8FE2A" w14:textId="77777777" w:rsidTr="000126DF">
        <w:tc>
          <w:tcPr>
            <w:tcW w:w="2325" w:type="dxa"/>
            <w:tcBorders>
              <w:top w:val="single" w:sz="4" w:space="0" w:color="auto"/>
              <w:left w:val="single" w:sz="4" w:space="0" w:color="000000"/>
              <w:bottom w:val="single" w:sz="4" w:space="0" w:color="000000"/>
              <w:right w:val="single" w:sz="4" w:space="0" w:color="000000"/>
            </w:tcBorders>
          </w:tcPr>
          <w:p w14:paraId="2865D542" w14:textId="1BD49A98" w:rsidR="00C77FAC" w:rsidRPr="00C77FAC" w:rsidRDefault="00C77FAC" w:rsidP="00C77FAC">
            <w:pPr>
              <w:jc w:val="both"/>
              <w:rPr>
                <w:rFonts w:ascii="Times New Roman" w:hAnsi="Times New Roman"/>
              </w:rPr>
            </w:pPr>
            <w:r w:rsidRPr="00C77FAC">
              <w:rPr>
                <w:rFonts w:ascii="Times New Roman" w:hAnsi="Times New Roman"/>
              </w:rPr>
              <w:t>Maksja esindaja</w:t>
            </w:r>
          </w:p>
        </w:tc>
        <w:tc>
          <w:tcPr>
            <w:tcW w:w="7110" w:type="dxa"/>
            <w:tcBorders>
              <w:top w:val="single" w:sz="4" w:space="0" w:color="auto"/>
              <w:left w:val="single" w:sz="4" w:space="0" w:color="000000"/>
              <w:bottom w:val="single" w:sz="4" w:space="0" w:color="000000"/>
              <w:right w:val="single" w:sz="4" w:space="0" w:color="000000"/>
            </w:tcBorders>
          </w:tcPr>
          <w:p w14:paraId="65B312E6" w14:textId="5AA4055D" w:rsidR="00C77FAC" w:rsidRPr="00C77FAC" w:rsidRDefault="00224A4D" w:rsidP="00C77FAC">
            <w:pPr>
              <w:jc w:val="both"/>
              <w:rPr>
                <w:rFonts w:ascii="Times New Roman" w:hAnsi="Times New Roman"/>
              </w:rPr>
            </w:pPr>
            <w:r>
              <w:rPr>
                <w:rFonts w:ascii="Times New Roman" w:hAnsi="Times New Roman"/>
              </w:rPr>
              <w:t>Roger Kumm, ennetuse ja süüteomenetluse büroo juht</w:t>
            </w:r>
          </w:p>
        </w:tc>
      </w:tr>
      <w:tr w:rsidR="00C77FAC" w:rsidRPr="00420C1A" w14:paraId="71DB00B1" w14:textId="77777777" w:rsidTr="000126DF">
        <w:tc>
          <w:tcPr>
            <w:tcW w:w="2325" w:type="dxa"/>
            <w:tcBorders>
              <w:top w:val="single" w:sz="4" w:space="0" w:color="auto"/>
              <w:left w:val="single" w:sz="4" w:space="0" w:color="000000"/>
              <w:bottom w:val="single" w:sz="4" w:space="0" w:color="000000"/>
              <w:right w:val="single" w:sz="4" w:space="0" w:color="000000"/>
            </w:tcBorders>
          </w:tcPr>
          <w:p w14:paraId="138A5137" w14:textId="25DA6EB2" w:rsidR="00C77FAC" w:rsidRPr="00C77FAC" w:rsidRDefault="00C77FAC" w:rsidP="00C77FAC">
            <w:pPr>
              <w:jc w:val="both"/>
              <w:rPr>
                <w:rFonts w:ascii="Times New Roman" w:hAnsi="Times New Roman"/>
                <w:bCs/>
              </w:rPr>
            </w:pPr>
            <w:r>
              <w:rPr>
                <w:rFonts w:ascii="Times New Roman" w:hAnsi="Times New Roman"/>
                <w:bCs/>
              </w:rPr>
              <w:t>Esinduse alus</w:t>
            </w:r>
          </w:p>
        </w:tc>
        <w:tc>
          <w:tcPr>
            <w:tcW w:w="7110" w:type="dxa"/>
            <w:tcBorders>
              <w:top w:val="single" w:sz="4" w:space="0" w:color="auto"/>
              <w:left w:val="single" w:sz="4" w:space="0" w:color="000000"/>
              <w:bottom w:val="single" w:sz="4" w:space="0" w:color="000000"/>
              <w:right w:val="single" w:sz="4" w:space="0" w:color="000000"/>
            </w:tcBorders>
          </w:tcPr>
          <w:p w14:paraId="3C5A5E28" w14:textId="20667083" w:rsidR="00C77FAC" w:rsidRPr="00C77FAC" w:rsidRDefault="00224A4D" w:rsidP="00C77FAC">
            <w:pPr>
              <w:jc w:val="both"/>
              <w:rPr>
                <w:rFonts w:ascii="Times New Roman" w:hAnsi="Times New Roman"/>
                <w:bCs/>
                <w:iCs/>
              </w:rPr>
            </w:pPr>
            <w:r>
              <w:rPr>
                <w:rFonts w:ascii="Times New Roman" w:hAnsi="Times New Roman" w:cs="Times New Roman"/>
                <w:iCs/>
              </w:rPr>
              <w:t xml:space="preserve">Politsei- ja Piirivalveameti hankekord (kinnitatud 09.10.2025, käskkirjaga nr 1.1-1/251) ja Politsei- ja Piirivalveameti </w:t>
            </w:r>
            <w:proofErr w:type="spellStart"/>
            <w:r>
              <w:rPr>
                <w:rFonts w:ascii="Times New Roman" w:hAnsi="Times New Roman" w:cs="Times New Roman"/>
                <w:iCs/>
              </w:rPr>
              <w:t>välissuhtlemise</w:t>
            </w:r>
            <w:proofErr w:type="spellEnd"/>
            <w:r>
              <w:rPr>
                <w:rFonts w:ascii="Times New Roman" w:hAnsi="Times New Roman" w:cs="Times New Roman"/>
                <w:iCs/>
              </w:rPr>
              <w:t xml:space="preserve"> kord (kinnitatud 28.04.2025 käskkirjaga nr 1.1-1/62)</w:t>
            </w:r>
          </w:p>
        </w:tc>
      </w:tr>
      <w:tr w:rsidR="00C77FAC" w:rsidRPr="00420C1A" w14:paraId="5499652D" w14:textId="77777777" w:rsidTr="000126DF">
        <w:tc>
          <w:tcPr>
            <w:tcW w:w="2325" w:type="dxa"/>
            <w:tcBorders>
              <w:top w:val="single" w:sz="4" w:space="0" w:color="auto"/>
              <w:left w:val="single" w:sz="4" w:space="0" w:color="000000"/>
              <w:bottom w:val="single" w:sz="4" w:space="0" w:color="000000"/>
              <w:right w:val="single" w:sz="4" w:space="0" w:color="000000"/>
            </w:tcBorders>
          </w:tcPr>
          <w:p w14:paraId="38177E47" w14:textId="74C26A23" w:rsidR="00C77FAC" w:rsidRPr="00C77FAC" w:rsidRDefault="00C77FAC" w:rsidP="00C77FAC">
            <w:pPr>
              <w:jc w:val="both"/>
              <w:rPr>
                <w:rFonts w:ascii="Times New Roman" w:hAnsi="Times New Roman"/>
                <w:bCs/>
              </w:rPr>
            </w:pPr>
            <w:r w:rsidRPr="00C77FAC">
              <w:rPr>
                <w:rFonts w:ascii="Times New Roman" w:hAnsi="Times New Roman"/>
                <w:bCs/>
              </w:rPr>
              <w:t>Kontaktisikud</w:t>
            </w:r>
          </w:p>
        </w:tc>
        <w:tc>
          <w:tcPr>
            <w:tcW w:w="7110" w:type="dxa"/>
            <w:tcBorders>
              <w:top w:val="single" w:sz="4" w:space="0" w:color="auto"/>
              <w:left w:val="single" w:sz="4" w:space="0" w:color="000000"/>
              <w:bottom w:val="single" w:sz="4" w:space="0" w:color="000000"/>
              <w:right w:val="single" w:sz="4" w:space="0" w:color="000000"/>
            </w:tcBorders>
          </w:tcPr>
          <w:p w14:paraId="785449A0" w14:textId="2B078114" w:rsidR="00C77FAC" w:rsidRPr="00C77FAC" w:rsidRDefault="00C77FAC" w:rsidP="00C77FAC">
            <w:pPr>
              <w:pStyle w:val="ListParagraph"/>
              <w:numPr>
                <w:ilvl w:val="0"/>
                <w:numId w:val="4"/>
              </w:numPr>
              <w:jc w:val="both"/>
              <w:rPr>
                <w:rFonts w:ascii="Times New Roman" w:hAnsi="Times New Roman"/>
                <w:bCs/>
                <w:i/>
              </w:rPr>
            </w:pPr>
          </w:p>
        </w:tc>
      </w:tr>
      <w:tr w:rsidR="00C77FAC" w:rsidRPr="00420C1A" w14:paraId="32DB458C" w14:textId="77777777" w:rsidTr="00992318">
        <w:tc>
          <w:tcPr>
            <w:tcW w:w="9435" w:type="dxa"/>
            <w:gridSpan w:val="2"/>
            <w:tcBorders>
              <w:top w:val="single" w:sz="4" w:space="0" w:color="auto"/>
              <w:left w:val="single" w:sz="4" w:space="0" w:color="000000"/>
              <w:bottom w:val="single" w:sz="4" w:space="0" w:color="000000"/>
              <w:right w:val="single" w:sz="4" w:space="0" w:color="000000"/>
            </w:tcBorders>
          </w:tcPr>
          <w:p w14:paraId="422C26DA" w14:textId="77777777" w:rsidR="00C77FAC" w:rsidRPr="00420C1A" w:rsidRDefault="00C77FAC" w:rsidP="00C77FAC">
            <w:pPr>
              <w:jc w:val="both"/>
              <w:rPr>
                <w:rFonts w:ascii="Times New Roman" w:hAnsi="Times New Roman"/>
                <w:b/>
                <w:i/>
              </w:rPr>
            </w:pPr>
          </w:p>
        </w:tc>
      </w:tr>
      <w:tr w:rsidR="00C77FAC" w:rsidRPr="00420C1A" w14:paraId="7D5452BA" w14:textId="77777777" w:rsidTr="000126DF">
        <w:tc>
          <w:tcPr>
            <w:tcW w:w="2325" w:type="dxa"/>
            <w:tcBorders>
              <w:top w:val="single" w:sz="4" w:space="0" w:color="auto"/>
              <w:left w:val="single" w:sz="4" w:space="0" w:color="000000"/>
              <w:bottom w:val="single" w:sz="4" w:space="0" w:color="000000"/>
              <w:right w:val="single" w:sz="4" w:space="0" w:color="000000"/>
            </w:tcBorders>
          </w:tcPr>
          <w:p w14:paraId="6BFA8377" w14:textId="77777777" w:rsidR="00C77FAC" w:rsidRPr="00420C1A" w:rsidRDefault="00C77FAC" w:rsidP="00C77FAC">
            <w:pPr>
              <w:jc w:val="both"/>
              <w:rPr>
                <w:rFonts w:ascii="Times New Roman" w:hAnsi="Times New Roman"/>
                <w:b/>
              </w:rPr>
            </w:pPr>
            <w:r w:rsidRPr="00420C1A">
              <w:rPr>
                <w:rFonts w:ascii="Times New Roman" w:hAnsi="Times New Roman"/>
                <w:b/>
              </w:rPr>
              <w:t>Täitja</w:t>
            </w:r>
          </w:p>
        </w:tc>
        <w:tc>
          <w:tcPr>
            <w:tcW w:w="7110" w:type="dxa"/>
            <w:tcBorders>
              <w:top w:val="single" w:sz="4" w:space="0" w:color="auto"/>
              <w:left w:val="single" w:sz="4" w:space="0" w:color="000000"/>
              <w:bottom w:val="single" w:sz="4" w:space="0" w:color="000000"/>
              <w:right w:val="single" w:sz="4" w:space="0" w:color="000000"/>
            </w:tcBorders>
          </w:tcPr>
          <w:p w14:paraId="0492585B" w14:textId="77777777" w:rsidR="00C77FAC" w:rsidRPr="00420C1A" w:rsidRDefault="00C77FAC" w:rsidP="00C77FAC">
            <w:pPr>
              <w:jc w:val="both"/>
              <w:rPr>
                <w:rFonts w:ascii="Times New Roman" w:hAnsi="Times New Roman"/>
                <w:b/>
                <w:i/>
              </w:rPr>
            </w:pPr>
            <w:r w:rsidRPr="00420C1A">
              <w:rPr>
                <w:rFonts w:ascii="Times New Roman" w:hAnsi="Times New Roman"/>
                <w:b/>
                <w:i/>
              </w:rPr>
              <w:t>OÜ/AS</w:t>
            </w:r>
          </w:p>
        </w:tc>
      </w:tr>
      <w:tr w:rsidR="00C77FAC" w:rsidRPr="00420C1A" w14:paraId="05D01760" w14:textId="77777777" w:rsidTr="000126DF">
        <w:tc>
          <w:tcPr>
            <w:tcW w:w="2325" w:type="dxa"/>
            <w:tcBorders>
              <w:top w:val="single" w:sz="4" w:space="0" w:color="000000"/>
              <w:left w:val="single" w:sz="4" w:space="0" w:color="000000"/>
              <w:bottom w:val="single" w:sz="4" w:space="0" w:color="000000"/>
              <w:right w:val="single" w:sz="4" w:space="0" w:color="000000"/>
            </w:tcBorders>
            <w:hideMark/>
          </w:tcPr>
          <w:p w14:paraId="26F6A833" w14:textId="77777777" w:rsidR="00C77FAC" w:rsidRPr="00420C1A" w:rsidRDefault="00C77FAC" w:rsidP="00C77FAC">
            <w:pPr>
              <w:jc w:val="both"/>
              <w:rPr>
                <w:rFonts w:ascii="Times New Roman" w:hAnsi="Times New Roman"/>
              </w:rPr>
            </w:pPr>
            <w:r w:rsidRPr="00420C1A">
              <w:rPr>
                <w:rFonts w:ascii="Times New Roman" w:hAnsi="Times New Roman"/>
              </w:rPr>
              <w:t>Registrikood</w:t>
            </w:r>
          </w:p>
        </w:tc>
        <w:tc>
          <w:tcPr>
            <w:tcW w:w="7110" w:type="dxa"/>
            <w:tcBorders>
              <w:top w:val="single" w:sz="4" w:space="0" w:color="000000"/>
              <w:left w:val="single" w:sz="4" w:space="0" w:color="000000"/>
              <w:bottom w:val="single" w:sz="4" w:space="0" w:color="000000"/>
              <w:right w:val="single" w:sz="4" w:space="0" w:color="000000"/>
            </w:tcBorders>
          </w:tcPr>
          <w:p w14:paraId="5F9F8577" w14:textId="77777777" w:rsidR="00C77FAC" w:rsidRPr="00420C1A" w:rsidRDefault="00C77FAC" w:rsidP="00C77FAC">
            <w:pPr>
              <w:jc w:val="both"/>
              <w:rPr>
                <w:rFonts w:ascii="Times New Roman" w:hAnsi="Times New Roman"/>
              </w:rPr>
            </w:pPr>
          </w:p>
        </w:tc>
      </w:tr>
      <w:tr w:rsidR="00C77FAC" w:rsidRPr="00420C1A" w14:paraId="5BD6BB03" w14:textId="77777777" w:rsidTr="000126DF">
        <w:tc>
          <w:tcPr>
            <w:tcW w:w="2325" w:type="dxa"/>
            <w:tcBorders>
              <w:top w:val="single" w:sz="4" w:space="0" w:color="000000"/>
              <w:left w:val="single" w:sz="4" w:space="0" w:color="000000"/>
              <w:bottom w:val="single" w:sz="4" w:space="0" w:color="000000"/>
              <w:right w:val="single" w:sz="4" w:space="0" w:color="000000"/>
            </w:tcBorders>
            <w:hideMark/>
          </w:tcPr>
          <w:p w14:paraId="1B1D7BFE" w14:textId="77777777" w:rsidR="00C77FAC" w:rsidRPr="00420C1A" w:rsidRDefault="00C77FAC" w:rsidP="00C77FAC">
            <w:pPr>
              <w:jc w:val="both"/>
              <w:rPr>
                <w:rFonts w:ascii="Times New Roman" w:hAnsi="Times New Roman"/>
              </w:rPr>
            </w:pPr>
            <w:r w:rsidRPr="00420C1A">
              <w:rPr>
                <w:rFonts w:ascii="Times New Roman" w:hAnsi="Times New Roman"/>
              </w:rPr>
              <w:t>Aadress</w:t>
            </w:r>
          </w:p>
        </w:tc>
        <w:tc>
          <w:tcPr>
            <w:tcW w:w="7110" w:type="dxa"/>
            <w:tcBorders>
              <w:top w:val="single" w:sz="4" w:space="0" w:color="000000"/>
              <w:left w:val="single" w:sz="4" w:space="0" w:color="000000"/>
              <w:bottom w:val="single" w:sz="4" w:space="0" w:color="000000"/>
              <w:right w:val="single" w:sz="4" w:space="0" w:color="000000"/>
            </w:tcBorders>
          </w:tcPr>
          <w:p w14:paraId="552A8900" w14:textId="77777777" w:rsidR="00C77FAC" w:rsidRPr="00420C1A" w:rsidRDefault="00C77FAC" w:rsidP="00C77FAC">
            <w:pPr>
              <w:jc w:val="both"/>
              <w:rPr>
                <w:rFonts w:ascii="Times New Roman" w:hAnsi="Times New Roman"/>
              </w:rPr>
            </w:pPr>
          </w:p>
        </w:tc>
      </w:tr>
      <w:tr w:rsidR="00C77FAC" w:rsidRPr="00420C1A" w14:paraId="24C11A0B" w14:textId="77777777" w:rsidTr="000126DF">
        <w:tc>
          <w:tcPr>
            <w:tcW w:w="2325" w:type="dxa"/>
            <w:tcBorders>
              <w:top w:val="single" w:sz="4" w:space="0" w:color="000000"/>
              <w:left w:val="single" w:sz="4" w:space="0" w:color="000000"/>
              <w:bottom w:val="single" w:sz="4" w:space="0" w:color="000000"/>
              <w:right w:val="single" w:sz="4" w:space="0" w:color="000000"/>
            </w:tcBorders>
            <w:hideMark/>
          </w:tcPr>
          <w:p w14:paraId="57D13F26" w14:textId="77777777" w:rsidR="00C77FAC" w:rsidRPr="00420C1A" w:rsidRDefault="00C77FAC" w:rsidP="00C77FAC">
            <w:pPr>
              <w:jc w:val="both"/>
              <w:rPr>
                <w:rFonts w:ascii="Times New Roman" w:hAnsi="Times New Roman"/>
              </w:rPr>
            </w:pPr>
            <w:r w:rsidRPr="00420C1A">
              <w:rPr>
                <w:rFonts w:ascii="Times New Roman" w:hAnsi="Times New Roman"/>
              </w:rPr>
              <w:t>Täitja esindaja</w:t>
            </w:r>
          </w:p>
        </w:tc>
        <w:tc>
          <w:tcPr>
            <w:tcW w:w="7110" w:type="dxa"/>
            <w:tcBorders>
              <w:top w:val="single" w:sz="4" w:space="0" w:color="000000"/>
              <w:left w:val="single" w:sz="4" w:space="0" w:color="000000"/>
              <w:bottom w:val="single" w:sz="4" w:space="0" w:color="000000"/>
              <w:right w:val="single" w:sz="4" w:space="0" w:color="000000"/>
            </w:tcBorders>
          </w:tcPr>
          <w:p w14:paraId="11708593" w14:textId="77777777" w:rsidR="00C77FAC" w:rsidRPr="00420C1A" w:rsidRDefault="00C77FAC" w:rsidP="00C77FAC">
            <w:pPr>
              <w:jc w:val="both"/>
              <w:rPr>
                <w:rFonts w:ascii="Times New Roman" w:hAnsi="Times New Roman"/>
              </w:rPr>
            </w:pPr>
          </w:p>
        </w:tc>
      </w:tr>
      <w:tr w:rsidR="00C77FAC" w:rsidRPr="00420C1A" w14:paraId="25047552" w14:textId="77777777" w:rsidTr="000126DF">
        <w:tc>
          <w:tcPr>
            <w:tcW w:w="2325" w:type="dxa"/>
            <w:tcBorders>
              <w:top w:val="single" w:sz="4" w:space="0" w:color="000000"/>
              <w:left w:val="single" w:sz="4" w:space="0" w:color="000000"/>
              <w:bottom w:val="single" w:sz="4" w:space="0" w:color="auto"/>
              <w:right w:val="single" w:sz="4" w:space="0" w:color="000000"/>
            </w:tcBorders>
            <w:hideMark/>
          </w:tcPr>
          <w:p w14:paraId="1F10CFF8" w14:textId="77777777" w:rsidR="00C77FAC" w:rsidRPr="00420C1A" w:rsidRDefault="00C77FAC" w:rsidP="00C77FAC">
            <w:pPr>
              <w:jc w:val="both"/>
              <w:rPr>
                <w:rFonts w:ascii="Times New Roman" w:hAnsi="Times New Roman"/>
              </w:rPr>
            </w:pPr>
            <w:r w:rsidRPr="00420C1A">
              <w:rPr>
                <w:rFonts w:ascii="Times New Roman" w:hAnsi="Times New Roman"/>
              </w:rPr>
              <w:t>Esinduse alus</w:t>
            </w:r>
          </w:p>
        </w:tc>
        <w:tc>
          <w:tcPr>
            <w:tcW w:w="7110" w:type="dxa"/>
            <w:tcBorders>
              <w:top w:val="single" w:sz="4" w:space="0" w:color="000000"/>
              <w:left w:val="single" w:sz="4" w:space="0" w:color="000000"/>
              <w:bottom w:val="single" w:sz="4" w:space="0" w:color="auto"/>
              <w:right w:val="single" w:sz="4" w:space="0" w:color="000000"/>
            </w:tcBorders>
            <w:hideMark/>
          </w:tcPr>
          <w:p w14:paraId="63072ADE" w14:textId="77777777" w:rsidR="00C77FAC" w:rsidRPr="00420C1A" w:rsidRDefault="00C77FAC" w:rsidP="00C77FAC">
            <w:pPr>
              <w:jc w:val="both"/>
              <w:rPr>
                <w:rFonts w:ascii="Times New Roman" w:hAnsi="Times New Roman"/>
                <w:i/>
              </w:rPr>
            </w:pPr>
            <w:r w:rsidRPr="00420C1A">
              <w:rPr>
                <w:rFonts w:ascii="Times New Roman" w:hAnsi="Times New Roman"/>
                <w:i/>
              </w:rPr>
              <w:t>Põhikiri/volikiri</w:t>
            </w:r>
          </w:p>
        </w:tc>
      </w:tr>
      <w:tr w:rsidR="00C77FAC" w:rsidRPr="00EA7141" w14:paraId="54834054" w14:textId="77777777" w:rsidTr="000126DF">
        <w:tc>
          <w:tcPr>
            <w:tcW w:w="2325" w:type="dxa"/>
            <w:tcBorders>
              <w:top w:val="single" w:sz="4" w:space="0" w:color="auto"/>
              <w:left w:val="single" w:sz="4" w:space="0" w:color="auto"/>
              <w:bottom w:val="single" w:sz="4" w:space="0" w:color="auto"/>
              <w:right w:val="single" w:sz="4" w:space="0" w:color="auto"/>
            </w:tcBorders>
            <w:hideMark/>
          </w:tcPr>
          <w:p w14:paraId="37158921" w14:textId="77777777" w:rsidR="00C77FAC" w:rsidRPr="00420C1A" w:rsidRDefault="00C77FAC" w:rsidP="00C77FAC">
            <w:pPr>
              <w:jc w:val="both"/>
              <w:rPr>
                <w:rFonts w:ascii="Times New Roman" w:hAnsi="Times New Roman"/>
              </w:rPr>
            </w:pPr>
            <w:r w:rsidRPr="00420C1A">
              <w:rPr>
                <w:rFonts w:ascii="Times New Roman" w:hAnsi="Times New Roman"/>
              </w:rPr>
              <w:t>Kontaktisikud</w:t>
            </w:r>
          </w:p>
        </w:tc>
        <w:tc>
          <w:tcPr>
            <w:tcW w:w="7110" w:type="dxa"/>
            <w:tcBorders>
              <w:top w:val="single" w:sz="4" w:space="0" w:color="auto"/>
              <w:left w:val="single" w:sz="4" w:space="0" w:color="auto"/>
              <w:bottom w:val="single" w:sz="4" w:space="0" w:color="auto"/>
              <w:right w:val="single" w:sz="4" w:space="0" w:color="auto"/>
            </w:tcBorders>
            <w:hideMark/>
          </w:tcPr>
          <w:p w14:paraId="503A959F" w14:textId="77777777" w:rsidR="00C77FAC" w:rsidRDefault="00C77FAC" w:rsidP="00C77FAC">
            <w:pPr>
              <w:widowControl/>
              <w:jc w:val="both"/>
              <w:rPr>
                <w:rFonts w:ascii="Times New Roman" w:hAnsi="Times New Roman"/>
                <w:i/>
              </w:rPr>
            </w:pPr>
            <w:r>
              <w:rPr>
                <w:rFonts w:ascii="Times New Roman" w:hAnsi="Times New Roman"/>
                <w:i/>
              </w:rPr>
              <w:t>1.</w:t>
            </w:r>
            <w:r w:rsidRPr="00EA7141">
              <w:rPr>
                <w:rFonts w:ascii="Times New Roman" w:hAnsi="Times New Roman"/>
                <w:i/>
              </w:rPr>
              <w:t>Nimi, ametinimetus, e-post, telefon.</w:t>
            </w:r>
          </w:p>
          <w:p w14:paraId="728ADE68" w14:textId="77777777" w:rsidR="00C77FAC" w:rsidRPr="00EA7141" w:rsidRDefault="00C77FAC" w:rsidP="00C77FAC">
            <w:pPr>
              <w:widowControl/>
              <w:jc w:val="both"/>
              <w:rPr>
                <w:rFonts w:ascii="Times New Roman" w:hAnsi="Times New Roman"/>
                <w:i/>
              </w:rPr>
            </w:pPr>
          </w:p>
        </w:tc>
      </w:tr>
      <w:tr w:rsidR="00C77FAC" w:rsidRPr="00EA7141" w14:paraId="1ADC7C68" w14:textId="77777777" w:rsidTr="000126DF">
        <w:tc>
          <w:tcPr>
            <w:tcW w:w="2325" w:type="dxa"/>
            <w:tcBorders>
              <w:top w:val="single" w:sz="4" w:space="0" w:color="auto"/>
              <w:left w:val="single" w:sz="4" w:space="0" w:color="auto"/>
              <w:bottom w:val="single" w:sz="4" w:space="0" w:color="auto"/>
              <w:right w:val="single" w:sz="4" w:space="0" w:color="auto"/>
            </w:tcBorders>
          </w:tcPr>
          <w:p w14:paraId="3A1A90E3" w14:textId="2015970A" w:rsidR="00C77FAC" w:rsidRPr="00420C1A" w:rsidRDefault="00C77FAC" w:rsidP="00C77FAC">
            <w:pPr>
              <w:jc w:val="both"/>
              <w:rPr>
                <w:rFonts w:ascii="Times New Roman" w:hAnsi="Times New Roman"/>
              </w:rPr>
            </w:pPr>
            <w:r>
              <w:rPr>
                <w:rFonts w:ascii="Times New Roman" w:hAnsi="Times New Roman"/>
              </w:rPr>
              <w:t>Arvelduskonto number</w:t>
            </w:r>
          </w:p>
        </w:tc>
        <w:tc>
          <w:tcPr>
            <w:tcW w:w="7110" w:type="dxa"/>
            <w:tcBorders>
              <w:top w:val="single" w:sz="4" w:space="0" w:color="auto"/>
              <w:left w:val="single" w:sz="4" w:space="0" w:color="auto"/>
              <w:bottom w:val="single" w:sz="4" w:space="0" w:color="auto"/>
              <w:right w:val="single" w:sz="4" w:space="0" w:color="auto"/>
            </w:tcBorders>
          </w:tcPr>
          <w:p w14:paraId="28352BC2" w14:textId="77777777" w:rsidR="00C77FAC" w:rsidRDefault="00C77FAC" w:rsidP="00C77FAC">
            <w:pPr>
              <w:widowControl/>
              <w:jc w:val="both"/>
              <w:rPr>
                <w:rFonts w:ascii="Times New Roman" w:hAnsi="Times New Roman"/>
                <w:i/>
              </w:rPr>
            </w:pPr>
          </w:p>
        </w:tc>
      </w:tr>
    </w:tbl>
    <w:p w14:paraId="388A74F1" w14:textId="77777777" w:rsidR="00291632" w:rsidRDefault="00291632">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245"/>
      </w:tblGrid>
      <w:tr w:rsidR="00291632" w14:paraId="0D7B44E8" w14:textId="77777777" w:rsidTr="001F65AD">
        <w:trPr>
          <w:jc w:val="center"/>
        </w:trPr>
        <w:tc>
          <w:tcPr>
            <w:tcW w:w="3115" w:type="dxa"/>
            <w:tcBorders>
              <w:top w:val="single" w:sz="4" w:space="0" w:color="auto"/>
              <w:left w:val="single" w:sz="4" w:space="0" w:color="auto"/>
            </w:tcBorders>
          </w:tcPr>
          <w:p w14:paraId="32B509C8" w14:textId="77777777" w:rsidR="00291632" w:rsidRDefault="00AF0876">
            <w:pPr>
              <w:pStyle w:val="Other0"/>
            </w:pPr>
            <w:r>
              <w:rPr>
                <w:rStyle w:val="Other"/>
                <w:b/>
                <w:bCs/>
              </w:rPr>
              <w:t>1. Lepingu sõlmimise alus</w:t>
            </w:r>
          </w:p>
        </w:tc>
        <w:tc>
          <w:tcPr>
            <w:tcW w:w="6245" w:type="dxa"/>
            <w:tcBorders>
              <w:top w:val="single" w:sz="4" w:space="0" w:color="auto"/>
              <w:left w:val="single" w:sz="4" w:space="0" w:color="auto"/>
              <w:right w:val="single" w:sz="4" w:space="0" w:color="auto"/>
            </w:tcBorders>
            <w:vAlign w:val="bottom"/>
          </w:tcPr>
          <w:p w14:paraId="0438AE16" w14:textId="5DBF9710" w:rsidR="00291632" w:rsidRDefault="001F65AD">
            <w:pPr>
              <w:pStyle w:val="Other0"/>
              <w:jc w:val="both"/>
            </w:pPr>
            <w:r>
              <w:rPr>
                <w:rStyle w:val="Other"/>
              </w:rPr>
              <w:t>Riigihangete seaduse § 125 alusel lihthanke „</w:t>
            </w:r>
            <w:proofErr w:type="spellStart"/>
            <w:r w:rsidR="00224A4D" w:rsidRPr="00224A4D">
              <w:t>Kriminalistikaline</w:t>
            </w:r>
            <w:proofErr w:type="spellEnd"/>
            <w:r w:rsidR="00224A4D" w:rsidRPr="00224A4D">
              <w:t xml:space="preserve"> multimeedia failide uurimise tarkvara või tarkvarapere litsentsi ostmine</w:t>
            </w:r>
            <w:r>
              <w:rPr>
                <w:rStyle w:val="Other"/>
              </w:rPr>
              <w:t>“ (300919) alusdokumendid ning täitja poolt … esitatud pakkumus.</w:t>
            </w:r>
          </w:p>
        </w:tc>
      </w:tr>
      <w:tr w:rsidR="00291632" w14:paraId="34AB90B7" w14:textId="77777777" w:rsidTr="001F65AD">
        <w:trPr>
          <w:jc w:val="center"/>
        </w:trPr>
        <w:tc>
          <w:tcPr>
            <w:tcW w:w="3115" w:type="dxa"/>
            <w:tcBorders>
              <w:top w:val="single" w:sz="4" w:space="0" w:color="auto"/>
              <w:left w:val="single" w:sz="4" w:space="0" w:color="auto"/>
            </w:tcBorders>
          </w:tcPr>
          <w:p w14:paraId="4D0F33A0" w14:textId="77777777" w:rsidR="00291632" w:rsidRDefault="00AF0876">
            <w:pPr>
              <w:pStyle w:val="Other0"/>
            </w:pPr>
            <w:r>
              <w:rPr>
                <w:rStyle w:val="Other"/>
                <w:b/>
                <w:bCs/>
              </w:rPr>
              <w:t>2. Lepingu ese</w:t>
            </w:r>
          </w:p>
        </w:tc>
        <w:tc>
          <w:tcPr>
            <w:tcW w:w="6245" w:type="dxa"/>
            <w:tcBorders>
              <w:top w:val="single" w:sz="4" w:space="0" w:color="auto"/>
              <w:left w:val="single" w:sz="4" w:space="0" w:color="auto"/>
              <w:right w:val="single" w:sz="4" w:space="0" w:color="auto"/>
            </w:tcBorders>
            <w:vAlign w:val="center"/>
          </w:tcPr>
          <w:p w14:paraId="5B3C5591" w14:textId="11C35FA1" w:rsidR="00291632" w:rsidRDefault="00AF0876">
            <w:pPr>
              <w:pStyle w:val="Other0"/>
              <w:jc w:val="both"/>
            </w:pPr>
            <w:r>
              <w:rPr>
                <w:rStyle w:val="Other"/>
              </w:rPr>
              <w:t xml:space="preserve">Hankelepingu esemeks </w:t>
            </w:r>
            <w:r w:rsidR="00224A4D">
              <w:rPr>
                <w:rStyle w:val="Other"/>
              </w:rPr>
              <w:t xml:space="preserve">on </w:t>
            </w:r>
            <w:proofErr w:type="spellStart"/>
            <w:r w:rsidR="00224A4D">
              <w:rPr>
                <w:rStyle w:val="Other"/>
              </w:rPr>
              <w:t>kriminalistikaline</w:t>
            </w:r>
            <w:proofErr w:type="spellEnd"/>
            <w:r w:rsidR="00224A4D">
              <w:rPr>
                <w:rStyle w:val="Other"/>
              </w:rPr>
              <w:t xml:space="preserve"> multimeedia failide uurimise tarkvara või tarkvarapere litsents</w:t>
            </w:r>
            <w:r w:rsidR="00F741C7">
              <w:rPr>
                <w:rStyle w:val="Other"/>
              </w:rPr>
              <w:t xml:space="preserve"> vastavalt </w:t>
            </w:r>
            <w:r>
              <w:rPr>
                <w:rStyle w:val="Other"/>
              </w:rPr>
              <w:t>lisale 2</w:t>
            </w:r>
            <w:r w:rsidR="00362EC9">
              <w:rPr>
                <w:rStyle w:val="Other"/>
              </w:rPr>
              <w:t>.</w:t>
            </w:r>
          </w:p>
        </w:tc>
      </w:tr>
      <w:tr w:rsidR="00291632" w14:paraId="0A5760C9" w14:textId="77777777" w:rsidTr="001F65AD">
        <w:trPr>
          <w:jc w:val="center"/>
        </w:trPr>
        <w:tc>
          <w:tcPr>
            <w:tcW w:w="3115" w:type="dxa"/>
            <w:tcBorders>
              <w:top w:val="single" w:sz="4" w:space="0" w:color="auto"/>
              <w:left w:val="single" w:sz="4" w:space="0" w:color="auto"/>
              <w:bottom w:val="single" w:sz="4" w:space="0" w:color="auto"/>
            </w:tcBorders>
            <w:vAlign w:val="center"/>
          </w:tcPr>
          <w:p w14:paraId="34DB8BAE" w14:textId="77777777" w:rsidR="00291632" w:rsidRDefault="00AF0876">
            <w:pPr>
              <w:pStyle w:val="Other0"/>
            </w:pPr>
            <w:r>
              <w:rPr>
                <w:rStyle w:val="Other"/>
                <w:b/>
                <w:bCs/>
              </w:rPr>
              <w:t>3. Rahastamisallikas</w:t>
            </w:r>
          </w:p>
        </w:tc>
        <w:tc>
          <w:tcPr>
            <w:tcW w:w="6245" w:type="dxa"/>
            <w:tcBorders>
              <w:top w:val="single" w:sz="4" w:space="0" w:color="auto"/>
              <w:left w:val="single" w:sz="4" w:space="0" w:color="auto"/>
              <w:bottom w:val="single" w:sz="4" w:space="0" w:color="auto"/>
              <w:right w:val="single" w:sz="4" w:space="0" w:color="auto"/>
            </w:tcBorders>
            <w:vAlign w:val="center"/>
          </w:tcPr>
          <w:p w14:paraId="658A6BD3" w14:textId="5CBA0A84" w:rsidR="00291632" w:rsidRDefault="00224A4D">
            <w:pPr>
              <w:pStyle w:val="Other0"/>
              <w:jc w:val="both"/>
            </w:pPr>
            <w:r w:rsidRPr="004973EB">
              <w:t>Euroopa Liidu poolt kaasrahastatud Sisejulgeoleku fondi projekt „Digikriminalistika võimekuse suurendamine“  ISF.1.01.23-0008 vahendid</w:t>
            </w:r>
          </w:p>
        </w:tc>
      </w:tr>
    </w:tbl>
    <w:p w14:paraId="5528BE68" w14:textId="77777777" w:rsidR="00291632" w:rsidRDefault="00291632">
      <w:pPr>
        <w:spacing w:after="439" w:line="1" w:lineRule="exact"/>
      </w:pPr>
    </w:p>
    <w:p w14:paraId="171D8F40" w14:textId="77777777" w:rsidR="00291632" w:rsidRPr="00DB54C1" w:rsidRDefault="00AF0876" w:rsidP="00DB54C1">
      <w:pPr>
        <w:pStyle w:val="Heading10"/>
        <w:keepNext/>
        <w:keepLines/>
        <w:numPr>
          <w:ilvl w:val="0"/>
          <w:numId w:val="2"/>
        </w:numPr>
        <w:tabs>
          <w:tab w:val="left" w:pos="319"/>
        </w:tabs>
        <w:spacing w:after="200" w:line="233" w:lineRule="auto"/>
        <w:ind w:firstLine="0"/>
        <w:jc w:val="both"/>
      </w:pPr>
      <w:bookmarkStart w:id="2" w:name="bookmark0"/>
      <w:r w:rsidRPr="00DB54C1">
        <w:rPr>
          <w:rStyle w:val="Heading1"/>
          <w:b/>
          <w:bCs/>
        </w:rPr>
        <w:t>Lepingu täitmine, lepingu eseme üleandmine-vastuvõtmine</w:t>
      </w:r>
      <w:bookmarkEnd w:id="2"/>
    </w:p>
    <w:p w14:paraId="640D3A34" w14:textId="77C3CF55" w:rsidR="00291632" w:rsidRPr="003F21F3" w:rsidRDefault="00AF0876" w:rsidP="003F21F3">
      <w:pPr>
        <w:pStyle w:val="BodyText"/>
        <w:numPr>
          <w:ilvl w:val="1"/>
          <w:numId w:val="2"/>
        </w:numPr>
        <w:tabs>
          <w:tab w:val="left" w:pos="796"/>
        </w:tabs>
        <w:ind w:left="720" w:hanging="420"/>
        <w:jc w:val="both"/>
      </w:pPr>
      <w:r w:rsidRPr="003F21F3">
        <w:rPr>
          <w:rStyle w:val="BodyTextChar"/>
        </w:rPr>
        <w:t>Hankelepingu alusel täitja annab üle ning tellija võtab vastu lepingu lisas 2 sätestatud spetsifikatsioonile vastava lepingu eseme.</w:t>
      </w:r>
      <w:r w:rsidR="00362EC9">
        <w:rPr>
          <w:rStyle w:val="BodyTextChar"/>
        </w:rPr>
        <w:t xml:space="preserve"> </w:t>
      </w:r>
      <w:r w:rsidR="00653371">
        <w:rPr>
          <w:rStyle w:val="BodyTextChar"/>
        </w:rPr>
        <w:t xml:space="preserve">Hankelepingu eritingimustes kokku leppimata küsimustes lähtutakse </w:t>
      </w:r>
      <w:proofErr w:type="spellStart"/>
      <w:r w:rsidR="00653371">
        <w:rPr>
          <w:rStyle w:val="BodyTextChar"/>
        </w:rPr>
        <w:t>SMITi</w:t>
      </w:r>
      <w:proofErr w:type="spellEnd"/>
      <w:r w:rsidR="00653371">
        <w:rPr>
          <w:rStyle w:val="BodyTextChar"/>
        </w:rPr>
        <w:t xml:space="preserve"> </w:t>
      </w:r>
      <w:r w:rsidR="00653371" w:rsidRPr="00F24BB7">
        <w:t xml:space="preserve">töövõtu-, käsundus- ja müügilepingu </w:t>
      </w:r>
      <w:r w:rsidR="00653371">
        <w:t>üldtingimustest (Lisa 1)</w:t>
      </w:r>
      <w:r w:rsidR="00653371">
        <w:rPr>
          <w:rStyle w:val="BodyTextChar"/>
        </w:rPr>
        <w:t xml:space="preserve">. </w:t>
      </w:r>
    </w:p>
    <w:p w14:paraId="1BA4E50E" w14:textId="786DE95A" w:rsidR="00291632" w:rsidRDefault="00AF0876" w:rsidP="003F21F3">
      <w:pPr>
        <w:pStyle w:val="BodyText"/>
        <w:numPr>
          <w:ilvl w:val="1"/>
          <w:numId w:val="2"/>
        </w:numPr>
        <w:tabs>
          <w:tab w:val="left" w:pos="766"/>
        </w:tabs>
        <w:ind w:left="720" w:hanging="420"/>
        <w:jc w:val="both"/>
        <w:rPr>
          <w:rStyle w:val="BodyTextChar"/>
        </w:rPr>
      </w:pPr>
      <w:r w:rsidRPr="00B80D47">
        <w:rPr>
          <w:rStyle w:val="BodyTextChar"/>
        </w:rPr>
        <w:t>T</w:t>
      </w:r>
      <w:r w:rsidR="00AC17CE" w:rsidRPr="00B80D47">
        <w:rPr>
          <w:rStyle w:val="BodyTextChar"/>
        </w:rPr>
        <w:t xml:space="preserve">äitja </w:t>
      </w:r>
      <w:r w:rsidR="009A1138" w:rsidRPr="00B80D47">
        <w:rPr>
          <w:rStyle w:val="BodyTextChar"/>
        </w:rPr>
        <w:t>a</w:t>
      </w:r>
      <w:r w:rsidR="009A1138">
        <w:rPr>
          <w:rStyle w:val="BodyTextChar"/>
        </w:rPr>
        <w:t xml:space="preserve">ktiveerib litsentsi ja võimaldab maksjal tarkvara kasutada </w:t>
      </w:r>
      <w:r w:rsidR="006409E3">
        <w:rPr>
          <w:rStyle w:val="BodyTextChar"/>
        </w:rPr>
        <w:t xml:space="preserve">5 päeva jooksul </w:t>
      </w:r>
      <w:r w:rsidR="009A1138">
        <w:rPr>
          <w:rStyle w:val="BodyTextChar"/>
        </w:rPr>
        <w:t>alates lepingu sõlmimise</w:t>
      </w:r>
      <w:r w:rsidR="002E0E1D">
        <w:rPr>
          <w:rStyle w:val="BodyTextChar"/>
        </w:rPr>
        <w:t>st.</w:t>
      </w:r>
      <w:r w:rsidR="009A1138">
        <w:rPr>
          <w:rStyle w:val="BodyTextChar"/>
        </w:rPr>
        <w:t xml:space="preserve"> Lepingu esemeks olev litsents kehtib 12 kuud.</w:t>
      </w:r>
    </w:p>
    <w:p w14:paraId="09770E43" w14:textId="3A640242" w:rsidR="003F2FA2" w:rsidRDefault="003F2FA2" w:rsidP="003F21F3">
      <w:pPr>
        <w:pStyle w:val="BodyText"/>
        <w:numPr>
          <w:ilvl w:val="1"/>
          <w:numId w:val="2"/>
        </w:numPr>
        <w:tabs>
          <w:tab w:val="left" w:pos="766"/>
        </w:tabs>
        <w:ind w:left="720" w:hanging="420"/>
        <w:jc w:val="both"/>
        <w:rPr>
          <w:rStyle w:val="BodyTextChar"/>
        </w:rPr>
      </w:pPr>
      <w:r>
        <w:rPr>
          <w:rStyle w:val="BodyTextChar"/>
        </w:rPr>
        <w:lastRenderedPageBreak/>
        <w:t xml:space="preserve">Lepingu täitmise keel on eesti või inglise keel. </w:t>
      </w:r>
    </w:p>
    <w:p w14:paraId="40743FF4" w14:textId="377BF457" w:rsidR="00B44083" w:rsidRPr="003F21F3" w:rsidRDefault="00B44083" w:rsidP="003F21F3">
      <w:pPr>
        <w:pStyle w:val="BodyText"/>
        <w:numPr>
          <w:ilvl w:val="1"/>
          <w:numId w:val="2"/>
        </w:numPr>
        <w:tabs>
          <w:tab w:val="left" w:pos="766"/>
        </w:tabs>
        <w:ind w:left="720" w:hanging="420"/>
        <w:jc w:val="both"/>
      </w:pPr>
      <w:r>
        <w:rPr>
          <w:rStyle w:val="BodyTextChar"/>
        </w:rPr>
        <w:t>Lepingu eseme vastuvõtmine toimub arve heakskiitmise teel. Kui arve on suunatud maksmisele, loetakse, et arve on heakskiidetud ning lepingu ese on vastu võetud.</w:t>
      </w:r>
    </w:p>
    <w:p w14:paraId="1FF406B5" w14:textId="1FD9D384" w:rsidR="00291632" w:rsidRPr="003F21F3" w:rsidRDefault="00AF0876" w:rsidP="00A45E24">
      <w:pPr>
        <w:pStyle w:val="BodyText"/>
        <w:numPr>
          <w:ilvl w:val="1"/>
          <w:numId w:val="2"/>
        </w:numPr>
        <w:tabs>
          <w:tab w:val="left" w:pos="796"/>
        </w:tabs>
        <w:ind w:left="720" w:hanging="420"/>
        <w:jc w:val="both"/>
      </w:pPr>
      <w:r w:rsidRPr="003F21F3">
        <w:rPr>
          <w:rStyle w:val="BodyTextChar"/>
        </w:rPr>
        <w:t xml:space="preserve">Tellijal on õigus viie tööpäeva jooksul kontrollida </w:t>
      </w:r>
      <w:r w:rsidR="00150AC3">
        <w:rPr>
          <w:rStyle w:val="BodyTextChar"/>
        </w:rPr>
        <w:t>lepingu eseme</w:t>
      </w:r>
      <w:r w:rsidR="00150AC3" w:rsidRPr="003F21F3">
        <w:rPr>
          <w:rStyle w:val="BodyTextChar"/>
        </w:rPr>
        <w:t xml:space="preserve"> </w:t>
      </w:r>
      <w:r w:rsidRPr="003F21F3">
        <w:rPr>
          <w:rStyle w:val="BodyTextChar"/>
        </w:rPr>
        <w:t>vastavust lepingutingimustele.</w:t>
      </w:r>
    </w:p>
    <w:p w14:paraId="6FB1FF34" w14:textId="77777777" w:rsidR="00291632" w:rsidRPr="003F21F3" w:rsidRDefault="00AF0876" w:rsidP="003F21F3">
      <w:pPr>
        <w:pStyle w:val="BodyText"/>
        <w:numPr>
          <w:ilvl w:val="1"/>
          <w:numId w:val="2"/>
        </w:numPr>
        <w:tabs>
          <w:tab w:val="left" w:pos="796"/>
        </w:tabs>
        <w:ind w:left="720" w:hanging="420"/>
        <w:jc w:val="both"/>
      </w:pPr>
      <w:r w:rsidRPr="003F21F3">
        <w:rPr>
          <w:rStyle w:val="BodyTextChar"/>
        </w:rPr>
        <w:t>Juhul kui tellija avastab lepingu esemes vigu, puudusi või muu lepingutingimustele mittevastavuse, on tellijal õigus teavitada täitjat lepingu eseme lepingutingimustele mittevastavusest ning määrata täitjale täiendav tähtaeg kestusega mitte rohkem kui 10 tööpäeva lepingu eseme lepingutingimustega vastavusse viimiseks.</w:t>
      </w:r>
    </w:p>
    <w:p w14:paraId="1A98699A" w14:textId="2664F5A1" w:rsidR="00291632" w:rsidRPr="003F21F3" w:rsidRDefault="00AF0876" w:rsidP="003F21F3">
      <w:pPr>
        <w:pStyle w:val="BodyText"/>
        <w:numPr>
          <w:ilvl w:val="1"/>
          <w:numId w:val="2"/>
        </w:numPr>
        <w:tabs>
          <w:tab w:val="left" w:pos="796"/>
        </w:tabs>
        <w:ind w:left="720" w:hanging="420"/>
        <w:jc w:val="both"/>
      </w:pPr>
      <w:r w:rsidRPr="003F21F3">
        <w:rPr>
          <w:rStyle w:val="BodyTextChar"/>
        </w:rPr>
        <w:t>Juhul, kui täitja ei tarni lepingu punktis 4.</w:t>
      </w:r>
      <w:r w:rsidR="00CD506E">
        <w:rPr>
          <w:rStyle w:val="BodyTextChar"/>
        </w:rPr>
        <w:t>6</w:t>
      </w:r>
      <w:r w:rsidRPr="003F21F3">
        <w:rPr>
          <w:rStyle w:val="BodyTextChar"/>
        </w:rPr>
        <w:t xml:space="preserve"> sätestatud täiendava tähtaja jooksul tellijale lepingu eset või kui tellija avastab </w:t>
      </w:r>
      <w:r w:rsidR="00150AC3">
        <w:rPr>
          <w:rStyle w:val="BodyTextChar"/>
        </w:rPr>
        <w:t>lepingu esemes</w:t>
      </w:r>
      <w:r w:rsidR="00150AC3" w:rsidRPr="003F21F3">
        <w:rPr>
          <w:rStyle w:val="BodyTextChar"/>
        </w:rPr>
        <w:t xml:space="preserve"> </w:t>
      </w:r>
      <w:r w:rsidRPr="003F21F3">
        <w:rPr>
          <w:rStyle w:val="BodyTextChar"/>
        </w:rPr>
        <w:t>jätkuvalt vigu, puudusi või muu lepingutingimustele mittevastavuse, on tellijal õigus leping täitjapoolse lepingu olulise rikkumise tõttu üles öelda.</w:t>
      </w:r>
    </w:p>
    <w:p w14:paraId="6417E839" w14:textId="5ECCFFC2" w:rsidR="00291632" w:rsidRPr="00DB54C1" w:rsidRDefault="00AF0876" w:rsidP="003F21F3">
      <w:pPr>
        <w:pStyle w:val="BodyText"/>
        <w:numPr>
          <w:ilvl w:val="1"/>
          <w:numId w:val="2"/>
        </w:numPr>
        <w:tabs>
          <w:tab w:val="left" w:pos="786"/>
        </w:tabs>
        <w:ind w:left="720" w:hanging="420"/>
        <w:jc w:val="both"/>
      </w:pPr>
      <w:r w:rsidRPr="003F21F3">
        <w:rPr>
          <w:rStyle w:val="BodyTextChar"/>
        </w:rPr>
        <w:t xml:space="preserve">Kui täitja ei teosta </w:t>
      </w:r>
      <w:r w:rsidR="00150AC3">
        <w:rPr>
          <w:rStyle w:val="BodyTextChar"/>
        </w:rPr>
        <w:t xml:space="preserve">lepingutingimustele vastavat </w:t>
      </w:r>
      <w:r w:rsidRPr="003F21F3">
        <w:rPr>
          <w:rStyle w:val="BodyTextChar"/>
        </w:rPr>
        <w:t>tarnet lepingus kokkulepitud tähtajal, on tellijal õigus kohaldada täitja suhtes leppetrahvi. Leppetrahvi tasumise kohustus</w:t>
      </w:r>
      <w:r w:rsidRPr="00DB54C1">
        <w:rPr>
          <w:rStyle w:val="BodyTextChar"/>
        </w:rPr>
        <w:t xml:space="preserve"> algab </w:t>
      </w:r>
      <w:r w:rsidR="00150AC3">
        <w:rPr>
          <w:rStyle w:val="BodyTextChar"/>
        </w:rPr>
        <w:t xml:space="preserve">algselt </w:t>
      </w:r>
      <w:r w:rsidRPr="00DB54C1">
        <w:rPr>
          <w:rStyle w:val="BodyTextChar"/>
        </w:rPr>
        <w:t>kokkulepitud tarne teostamise päevale järgnevast päevast</w:t>
      </w:r>
      <w:r w:rsidR="00150AC3">
        <w:rPr>
          <w:rStyle w:val="BodyTextChar"/>
        </w:rPr>
        <w:t xml:space="preserve"> </w:t>
      </w:r>
      <w:r w:rsidRPr="00DB54C1">
        <w:rPr>
          <w:rStyle w:val="BodyTextChar"/>
        </w:rPr>
        <w:t>ning kestab kuni</w:t>
      </w:r>
      <w:r w:rsidR="00150AC3">
        <w:rPr>
          <w:rStyle w:val="BodyTextChar"/>
        </w:rPr>
        <w:t xml:space="preserve"> lepingutingimustele vastava lepingu eseme üleandmiseni.</w:t>
      </w:r>
      <w:r w:rsidRPr="00DB54C1">
        <w:rPr>
          <w:rStyle w:val="BodyTextChar"/>
        </w:rPr>
        <w:t xml:space="preserve"> </w:t>
      </w:r>
    </w:p>
    <w:p w14:paraId="7755BFCA" w14:textId="5690B2EF" w:rsidR="00291632" w:rsidRPr="00DB54C1" w:rsidRDefault="00AF0876" w:rsidP="003F21F3">
      <w:pPr>
        <w:pStyle w:val="BodyText"/>
        <w:numPr>
          <w:ilvl w:val="1"/>
          <w:numId w:val="2"/>
        </w:numPr>
        <w:tabs>
          <w:tab w:val="left" w:pos="786"/>
        </w:tabs>
        <w:ind w:left="720" w:hanging="420"/>
        <w:jc w:val="both"/>
      </w:pPr>
      <w:r w:rsidRPr="00DB54C1">
        <w:rPr>
          <w:rStyle w:val="BodyTextChar"/>
        </w:rPr>
        <w:t xml:space="preserve">Täitja on kohustatud tagama, et üle antav lepingu ese vastab tootja litsentseerimistingimustele. Täitja peab võimaldama </w:t>
      </w:r>
      <w:r w:rsidR="00873D4D">
        <w:rPr>
          <w:rStyle w:val="BodyTextChar"/>
        </w:rPr>
        <w:t>maksjal</w:t>
      </w:r>
      <w:r w:rsidR="00873D4D" w:rsidRPr="00DB54C1">
        <w:rPr>
          <w:rStyle w:val="BodyTextChar"/>
        </w:rPr>
        <w:t xml:space="preserve"> </w:t>
      </w:r>
      <w:r w:rsidRPr="00DB54C1">
        <w:rPr>
          <w:rStyle w:val="BodyTextChar"/>
        </w:rPr>
        <w:t>toote õiguspärast kasutamist.</w:t>
      </w:r>
    </w:p>
    <w:p w14:paraId="2FABAE5B" w14:textId="0DF922C7" w:rsidR="00291632" w:rsidRPr="00DB54C1" w:rsidRDefault="00AF0876" w:rsidP="003F21F3">
      <w:pPr>
        <w:pStyle w:val="BodyText"/>
        <w:numPr>
          <w:ilvl w:val="1"/>
          <w:numId w:val="2"/>
        </w:numPr>
        <w:tabs>
          <w:tab w:val="left" w:pos="906"/>
        </w:tabs>
        <w:ind w:left="720" w:hanging="420"/>
        <w:jc w:val="both"/>
      </w:pPr>
      <w:r w:rsidRPr="00DB54C1">
        <w:rPr>
          <w:rStyle w:val="BodyTextChar"/>
        </w:rPr>
        <w:t>Täitja annab lepingu esemega koos tellijale</w:t>
      </w:r>
      <w:r w:rsidR="008B6A6D">
        <w:rPr>
          <w:rStyle w:val="BodyTextChar"/>
        </w:rPr>
        <w:t xml:space="preserve"> ja maksjale</w:t>
      </w:r>
      <w:r w:rsidRPr="00DB54C1">
        <w:rPr>
          <w:rStyle w:val="BodyTextChar"/>
        </w:rPr>
        <w:t xml:space="preserve"> üle selle olemasolul lepingu eseme kasutamiseks ja haldamiseks vajaliku dokumentatsiooni.</w:t>
      </w:r>
    </w:p>
    <w:p w14:paraId="684CAA34" w14:textId="0F59FEF6" w:rsidR="00291632" w:rsidRPr="00DB54C1" w:rsidRDefault="00AF0876" w:rsidP="003F21F3">
      <w:pPr>
        <w:pStyle w:val="BodyText"/>
        <w:numPr>
          <w:ilvl w:val="1"/>
          <w:numId w:val="2"/>
        </w:numPr>
        <w:tabs>
          <w:tab w:val="left" w:pos="891"/>
        </w:tabs>
        <w:ind w:left="720" w:hanging="420"/>
        <w:jc w:val="both"/>
      </w:pPr>
      <w:r w:rsidRPr="00DB54C1">
        <w:rPr>
          <w:rStyle w:val="BodyTextChar"/>
        </w:rPr>
        <w:t>Hankelepingu täitmi</w:t>
      </w:r>
      <w:r w:rsidR="00081844">
        <w:rPr>
          <w:rStyle w:val="BodyTextChar"/>
        </w:rPr>
        <w:t>sega seotud suhtlus</w:t>
      </w:r>
      <w:r w:rsidRPr="00DB54C1">
        <w:rPr>
          <w:rStyle w:val="BodyTextChar"/>
        </w:rPr>
        <w:t xml:space="preserve"> toimub hankelepingus sätestatud vastavate kontaktisikute poolt telefoni või e-posti teel esitatud teadete alusel. Telefoni teel edastatud teated tuleb kinnitada e-posti teel.</w:t>
      </w:r>
    </w:p>
    <w:p w14:paraId="602A823A" w14:textId="7B78FE65" w:rsidR="00291632" w:rsidRPr="00DB54C1" w:rsidRDefault="00AF0876" w:rsidP="003F21F3">
      <w:pPr>
        <w:pStyle w:val="BodyText"/>
        <w:numPr>
          <w:ilvl w:val="1"/>
          <w:numId w:val="2"/>
        </w:numPr>
        <w:tabs>
          <w:tab w:val="left" w:pos="906"/>
        </w:tabs>
        <w:ind w:left="720" w:hanging="420"/>
        <w:jc w:val="both"/>
      </w:pPr>
      <w:r w:rsidRPr="00DB54C1">
        <w:rPr>
          <w:rStyle w:val="BodyTextChar"/>
        </w:rPr>
        <w:t>Täitja kinnitab, et on tootja või tootja poolt volitatud edasimüüja (esindusõigus) ning vastutab esindusõiguse olemasolu eest kogu lepingu kehtivuse vältel.</w:t>
      </w:r>
    </w:p>
    <w:p w14:paraId="6FBC2AC9" w14:textId="36FFC401" w:rsidR="00291632" w:rsidRDefault="00AF0876" w:rsidP="006A5A2B">
      <w:pPr>
        <w:pStyle w:val="BodyText"/>
        <w:numPr>
          <w:ilvl w:val="1"/>
          <w:numId w:val="2"/>
        </w:numPr>
        <w:tabs>
          <w:tab w:val="left" w:pos="906"/>
        </w:tabs>
        <w:ind w:left="720" w:hanging="420"/>
        <w:jc w:val="both"/>
      </w:pPr>
      <w:r w:rsidRPr="00DB54C1">
        <w:rPr>
          <w:rStyle w:val="BodyTextChar"/>
        </w:rPr>
        <w:t>Tellijal on õigus igal ajal kontrollida lepingu eseme vastavust lepingule ning täitja kinnitustele ning nõuda täitjalt informatsiooni lepingu täitmise kohta, sh esindusõigust tõendavate dokumentide esitamist.</w:t>
      </w:r>
    </w:p>
    <w:p w14:paraId="1C245720" w14:textId="77777777" w:rsidR="006A5A2B" w:rsidRPr="006A5A2B" w:rsidRDefault="006A5A2B" w:rsidP="006A5A2B">
      <w:pPr>
        <w:pStyle w:val="BodyText"/>
        <w:tabs>
          <w:tab w:val="left" w:pos="906"/>
        </w:tabs>
        <w:ind w:left="720"/>
        <w:jc w:val="both"/>
      </w:pPr>
    </w:p>
    <w:p w14:paraId="573153F1" w14:textId="133DEF91" w:rsidR="00E32CCC" w:rsidRDefault="00E32CCC" w:rsidP="00E32CCC">
      <w:pPr>
        <w:pStyle w:val="Heading10"/>
        <w:keepNext/>
        <w:keepLines/>
        <w:numPr>
          <w:ilvl w:val="0"/>
          <w:numId w:val="2"/>
        </w:numPr>
        <w:tabs>
          <w:tab w:val="left" w:pos="603"/>
        </w:tabs>
        <w:jc w:val="both"/>
        <w:rPr>
          <w:rStyle w:val="Heading1"/>
          <w:b/>
          <w:bCs/>
        </w:rPr>
      </w:pPr>
      <w:bookmarkStart w:id="3" w:name="bookmark2"/>
      <w:proofErr w:type="spellStart"/>
      <w:r>
        <w:rPr>
          <w:rStyle w:val="Heading1"/>
          <w:b/>
          <w:bCs/>
        </w:rPr>
        <w:t>Välisvahendite</w:t>
      </w:r>
      <w:proofErr w:type="spellEnd"/>
      <w:r>
        <w:rPr>
          <w:rStyle w:val="Heading1"/>
          <w:b/>
          <w:bCs/>
        </w:rPr>
        <w:t xml:space="preserve"> kasutamisest tulenevad nõuded</w:t>
      </w:r>
    </w:p>
    <w:p w14:paraId="2DCEC79F" w14:textId="77777777" w:rsidR="00E32CCC" w:rsidRDefault="00E32CCC" w:rsidP="00E32CCC">
      <w:pPr>
        <w:pStyle w:val="Heading10"/>
        <w:keepNext/>
        <w:keepLines/>
        <w:numPr>
          <w:ilvl w:val="1"/>
          <w:numId w:val="2"/>
        </w:numPr>
        <w:tabs>
          <w:tab w:val="left" w:pos="603"/>
        </w:tabs>
        <w:jc w:val="both"/>
        <w:rPr>
          <w:rStyle w:val="Heading1"/>
        </w:rPr>
      </w:pPr>
      <w:proofErr w:type="spellStart"/>
      <w:r w:rsidRPr="00A76D85">
        <w:rPr>
          <w:rStyle w:val="Heading1"/>
        </w:rPr>
        <w:t>Välisvahendite</w:t>
      </w:r>
      <w:proofErr w:type="spellEnd"/>
      <w:r w:rsidRPr="00A76D85">
        <w:rPr>
          <w:rStyle w:val="Heading1"/>
        </w:rPr>
        <w:t xml:space="preserve"> kasutamise lõpptähtpäev on 31.08.2029.</w:t>
      </w:r>
    </w:p>
    <w:p w14:paraId="05550EC3" w14:textId="70A4644C" w:rsidR="00A45E24" w:rsidRPr="00A45E24" w:rsidRDefault="00A45E24" w:rsidP="00A45E24">
      <w:pPr>
        <w:pStyle w:val="BodyText"/>
        <w:numPr>
          <w:ilvl w:val="1"/>
          <w:numId w:val="2"/>
        </w:numPr>
        <w:tabs>
          <w:tab w:val="left" w:pos="906"/>
        </w:tabs>
        <w:ind w:left="720" w:hanging="420"/>
        <w:jc w:val="both"/>
        <w:rPr>
          <w:rStyle w:val="BodyTextChar"/>
        </w:rPr>
      </w:pPr>
      <w:r w:rsidRPr="00A45E24">
        <w:rPr>
          <w:rStyle w:val="BodyTextChar"/>
        </w:rPr>
        <w:t>Lepingu täitja esitab auditeerimis- ja kontrollasutustele nõudmisel kogu vajaliku teabe lepinguga seotud tegevuste kohta.</w:t>
      </w:r>
    </w:p>
    <w:p w14:paraId="3A38789D" w14:textId="77777777" w:rsidR="00E32CCC" w:rsidRPr="00E32CCC" w:rsidRDefault="00E32CCC" w:rsidP="00E32CCC">
      <w:pPr>
        <w:pStyle w:val="Heading10"/>
        <w:keepNext/>
        <w:keepLines/>
        <w:tabs>
          <w:tab w:val="left" w:pos="603"/>
        </w:tabs>
        <w:ind w:left="300" w:firstLine="0"/>
        <w:jc w:val="both"/>
        <w:rPr>
          <w:rStyle w:val="Heading1"/>
          <w:b/>
          <w:bCs/>
        </w:rPr>
      </w:pPr>
    </w:p>
    <w:p w14:paraId="20C24ECB" w14:textId="1FB21C4D" w:rsidR="00291632" w:rsidRPr="00DB54C1" w:rsidRDefault="00AF0876" w:rsidP="003F21F3">
      <w:pPr>
        <w:pStyle w:val="Heading10"/>
        <w:keepNext/>
        <w:keepLines/>
        <w:numPr>
          <w:ilvl w:val="0"/>
          <w:numId w:val="2"/>
        </w:numPr>
        <w:tabs>
          <w:tab w:val="left" w:pos="603"/>
        </w:tabs>
        <w:jc w:val="both"/>
      </w:pPr>
      <w:r w:rsidRPr="00DB54C1">
        <w:rPr>
          <w:rStyle w:val="Heading1"/>
          <w:b/>
          <w:bCs/>
        </w:rPr>
        <w:t>Lepingu maksumus ja arveldamise kord</w:t>
      </w:r>
      <w:bookmarkEnd w:id="3"/>
    </w:p>
    <w:p w14:paraId="37049444" w14:textId="2B459FEB" w:rsidR="00291632" w:rsidRPr="008B6A6D" w:rsidRDefault="00AF0876" w:rsidP="008B6A6D">
      <w:pPr>
        <w:pStyle w:val="BodyText"/>
        <w:numPr>
          <w:ilvl w:val="1"/>
          <w:numId w:val="2"/>
        </w:numPr>
        <w:tabs>
          <w:tab w:val="left" w:pos="776"/>
        </w:tabs>
        <w:ind w:left="720" w:hanging="420"/>
        <w:jc w:val="both"/>
        <w:rPr>
          <w:rStyle w:val="BodyTextChar"/>
        </w:rPr>
      </w:pPr>
      <w:r w:rsidRPr="00DB54C1">
        <w:rPr>
          <w:rStyle w:val="BodyTextChar"/>
        </w:rPr>
        <w:t>Lepingu kogumaksumus on</w:t>
      </w:r>
      <w:r w:rsidR="00C43CF6">
        <w:rPr>
          <w:rStyle w:val="BodyTextChar"/>
        </w:rPr>
        <w:t xml:space="preserve"> </w:t>
      </w:r>
      <w:r w:rsidR="008A5252" w:rsidRPr="008B6A6D">
        <w:rPr>
          <w:rStyle w:val="BodyTextChar"/>
        </w:rPr>
        <w:t>….</w:t>
      </w:r>
      <w:r w:rsidRPr="00DB54C1">
        <w:rPr>
          <w:rStyle w:val="BodyTextChar"/>
        </w:rPr>
        <w:t xml:space="preserve"> eurot, lisandub käibemaks. Nimetatud hind on lõplik</w:t>
      </w:r>
      <w:r w:rsidR="008B6A6D" w:rsidRPr="008B6A6D">
        <w:rPr>
          <w:rStyle w:val="BodyTextChar"/>
        </w:rPr>
        <w:t xml:space="preserve"> </w:t>
      </w:r>
      <w:r w:rsidRPr="00DB54C1">
        <w:rPr>
          <w:rStyle w:val="BodyTextChar"/>
        </w:rPr>
        <w:t xml:space="preserve">hind, mis kuulub </w:t>
      </w:r>
      <w:r w:rsidR="0011297E" w:rsidRPr="008B6A6D">
        <w:rPr>
          <w:rStyle w:val="BodyTextChar"/>
        </w:rPr>
        <w:t>maksja</w:t>
      </w:r>
      <w:r w:rsidR="00C43CF6">
        <w:rPr>
          <w:rStyle w:val="BodyTextChar"/>
        </w:rPr>
        <w:t xml:space="preserve"> </w:t>
      </w:r>
      <w:r w:rsidRPr="00DB54C1">
        <w:rPr>
          <w:rStyle w:val="BodyTextChar"/>
        </w:rPr>
        <w:t>poolt lepingu eseme eest tasumisele, sisaldades ka</w:t>
      </w:r>
      <w:r w:rsidR="00C43CF6" w:rsidRPr="008B6A6D">
        <w:rPr>
          <w:rStyle w:val="BodyTextChar"/>
        </w:rPr>
        <w:t xml:space="preserve"> </w:t>
      </w:r>
      <w:r w:rsidRPr="00DB54C1">
        <w:rPr>
          <w:rStyle w:val="BodyTextChar"/>
        </w:rPr>
        <w:t>intellektuaalomandi õiguse tasusid, kui need kohalduvad.</w:t>
      </w:r>
      <w:r w:rsidR="00150AC3">
        <w:rPr>
          <w:rStyle w:val="BodyTextChar"/>
        </w:rPr>
        <w:t xml:space="preserve"> Lepingu eseme</w:t>
      </w:r>
      <w:r w:rsidR="00150AC3" w:rsidRPr="00EB61AC">
        <w:rPr>
          <w:rStyle w:val="BodyTextChar"/>
          <w:strike/>
        </w:rPr>
        <w:t xml:space="preserve"> </w:t>
      </w:r>
      <w:r w:rsidR="00150AC3">
        <w:rPr>
          <w:rStyle w:val="BodyTextChar"/>
        </w:rPr>
        <w:t xml:space="preserve">maksumus on toodud lisas </w:t>
      </w:r>
      <w:r w:rsidR="00A86C6F">
        <w:rPr>
          <w:rStyle w:val="BodyTextChar"/>
        </w:rPr>
        <w:t>3</w:t>
      </w:r>
      <w:r w:rsidR="00150AC3">
        <w:rPr>
          <w:rStyle w:val="BodyTextChar"/>
        </w:rPr>
        <w:t>.</w:t>
      </w:r>
    </w:p>
    <w:p w14:paraId="45B8D6B6" w14:textId="00FE3F84" w:rsidR="00291632" w:rsidRPr="00DB54C1" w:rsidRDefault="00AF0876" w:rsidP="003F21F3">
      <w:pPr>
        <w:pStyle w:val="BodyText"/>
        <w:numPr>
          <w:ilvl w:val="1"/>
          <w:numId w:val="2"/>
        </w:numPr>
        <w:tabs>
          <w:tab w:val="left" w:pos="776"/>
        </w:tabs>
        <w:ind w:left="720" w:hanging="420"/>
        <w:jc w:val="both"/>
      </w:pPr>
      <w:r w:rsidRPr="00DB54C1">
        <w:rPr>
          <w:rStyle w:val="BodyTextChar"/>
        </w:rPr>
        <w:t>Arveldamine toimub</w:t>
      </w:r>
      <w:r w:rsidR="00150AC3">
        <w:rPr>
          <w:rStyle w:val="BodyTextChar"/>
        </w:rPr>
        <w:t xml:space="preserve"> p</w:t>
      </w:r>
      <w:r w:rsidR="00A86C6F">
        <w:rPr>
          <w:rStyle w:val="BodyTextChar"/>
        </w:rPr>
        <w:t>ärast</w:t>
      </w:r>
      <w:r w:rsidRPr="00DB54C1">
        <w:rPr>
          <w:rStyle w:val="BodyTextChar"/>
        </w:rPr>
        <w:t xml:space="preserve"> lisas 2 toodud lepingu eseme </w:t>
      </w:r>
      <w:r w:rsidR="00150AC3">
        <w:rPr>
          <w:rStyle w:val="BodyTextChar"/>
        </w:rPr>
        <w:t>vastuvõtmist</w:t>
      </w:r>
      <w:r w:rsidRPr="00DB54C1">
        <w:rPr>
          <w:rStyle w:val="BodyTextChar"/>
        </w:rPr>
        <w:t xml:space="preserve"> ja täitja esitatud arve alusel. </w:t>
      </w:r>
      <w:r w:rsidRPr="00240D9F">
        <w:rPr>
          <w:rStyle w:val="BodyTextChar"/>
        </w:rPr>
        <w:t>Lepingu eseme eest tasutakse ühes osas</w:t>
      </w:r>
      <w:r w:rsidR="00150AC3" w:rsidRPr="00240D9F">
        <w:rPr>
          <w:rStyle w:val="BodyTextChar"/>
        </w:rPr>
        <w:t xml:space="preserve"> </w:t>
      </w:r>
      <w:r w:rsidR="00653371" w:rsidRPr="00240D9F">
        <w:rPr>
          <w:rStyle w:val="BodyTextChar"/>
        </w:rPr>
        <w:t xml:space="preserve">kogu </w:t>
      </w:r>
      <w:r w:rsidR="00150AC3" w:rsidRPr="00240D9F">
        <w:rPr>
          <w:rStyle w:val="BodyTextChar"/>
        </w:rPr>
        <w:t xml:space="preserve">litsentsi </w:t>
      </w:r>
      <w:r w:rsidRPr="00240D9F">
        <w:rPr>
          <w:rStyle w:val="BodyTextChar"/>
        </w:rPr>
        <w:t>perioodi ette.</w:t>
      </w:r>
    </w:p>
    <w:p w14:paraId="5F11CE12" w14:textId="365809E0" w:rsidR="00291632" w:rsidRPr="00DB54C1" w:rsidRDefault="00AF0876" w:rsidP="003F21F3">
      <w:pPr>
        <w:pStyle w:val="BodyText"/>
        <w:numPr>
          <w:ilvl w:val="1"/>
          <w:numId w:val="2"/>
        </w:numPr>
        <w:tabs>
          <w:tab w:val="left" w:pos="776"/>
        </w:tabs>
        <w:ind w:left="720" w:hanging="420"/>
        <w:jc w:val="both"/>
      </w:pPr>
      <w:r w:rsidRPr="00DB54C1">
        <w:rPr>
          <w:rStyle w:val="BodyTextChar"/>
        </w:rPr>
        <w:t xml:space="preserve">Täitja saadab </w:t>
      </w:r>
      <w:r w:rsidR="008B6A6D">
        <w:rPr>
          <w:rStyle w:val="BodyTextChar"/>
        </w:rPr>
        <w:t>maksjale</w:t>
      </w:r>
      <w:r w:rsidRPr="00DB54C1">
        <w:rPr>
          <w:rStyle w:val="BodyTextChar"/>
        </w:rPr>
        <w:t xml:space="preserve"> Eesti e-arve standardile vastava e-arve e-arvete operaatori kaudu. </w:t>
      </w:r>
      <w:proofErr w:type="spellStart"/>
      <w:r w:rsidRPr="00DB54C1">
        <w:rPr>
          <w:rStyle w:val="BodyTextChar"/>
          <w:lang w:val="en-US" w:eastAsia="en-US" w:bidi="en-US"/>
        </w:rPr>
        <w:t>E</w:t>
      </w:r>
      <w:r w:rsidRPr="00DB54C1">
        <w:rPr>
          <w:rStyle w:val="BodyTextChar"/>
          <w:lang w:val="en-US" w:eastAsia="en-US" w:bidi="en-US"/>
        </w:rPr>
        <w:softHyphen/>
        <w:t>arves</w:t>
      </w:r>
      <w:proofErr w:type="spellEnd"/>
      <w:r w:rsidRPr="00DB54C1">
        <w:rPr>
          <w:rStyle w:val="BodyTextChar"/>
        </w:rPr>
        <w:t xml:space="preserve"> peab lisaks standardis nimetatud andmetele olema toodud </w:t>
      </w:r>
      <w:r w:rsidR="0011297E" w:rsidRPr="008B6A6D">
        <w:rPr>
          <w:rStyle w:val="BodyTextChar"/>
        </w:rPr>
        <w:t>maksja</w:t>
      </w:r>
      <w:r w:rsidRPr="00DB54C1">
        <w:rPr>
          <w:rStyle w:val="BodyTextChar"/>
        </w:rPr>
        <w:t xml:space="preserve"> kontaktisiku perekonnanimi ning riigihanke viitenumber, hankelepingu number</w:t>
      </w:r>
      <w:r w:rsidR="002A39FD">
        <w:rPr>
          <w:rStyle w:val="BodyTextChar"/>
        </w:rPr>
        <w:t>,</w:t>
      </w:r>
      <w:r w:rsidRPr="00DB54C1">
        <w:rPr>
          <w:rStyle w:val="BodyTextChar"/>
        </w:rPr>
        <w:t xml:space="preserve"> hankelepingu osa 15-kohaline viitenumber</w:t>
      </w:r>
      <w:r w:rsidR="002A39FD">
        <w:rPr>
          <w:rStyle w:val="BodyTextChar"/>
        </w:rPr>
        <w:t xml:space="preserve"> ja projekti kood </w:t>
      </w:r>
      <w:r w:rsidR="002A39FD" w:rsidRPr="001F65AD">
        <w:rPr>
          <w:rStyle w:val="Other"/>
        </w:rPr>
        <w:t>ISF.1.01.23-0008</w:t>
      </w:r>
      <w:r w:rsidRPr="00DB54C1">
        <w:rPr>
          <w:rStyle w:val="BodyTextChar"/>
        </w:rPr>
        <w:t>. E-arve loetakse laekunuks selle laekumise kuupäevast.</w:t>
      </w:r>
      <w:r w:rsidR="00EA6163">
        <w:rPr>
          <w:rStyle w:val="BodyTextChar"/>
        </w:rPr>
        <w:t xml:space="preserve"> Eestis mitteregistreeritud ettevõtted edastavad arved maksjale </w:t>
      </w:r>
      <w:proofErr w:type="spellStart"/>
      <w:r w:rsidR="00EA6163">
        <w:rPr>
          <w:rStyle w:val="BodyTextChar"/>
        </w:rPr>
        <w:t>pdf</w:t>
      </w:r>
      <w:proofErr w:type="spellEnd"/>
      <w:r w:rsidR="00EA6163">
        <w:rPr>
          <w:rStyle w:val="BodyTextChar"/>
        </w:rPr>
        <w:t xml:space="preserve">-formaadis e-posti aadressile </w:t>
      </w:r>
      <w:hyperlink r:id="rId10" w:history="1">
        <w:r w:rsidR="00EA6163" w:rsidRPr="00EA6163">
          <w:rPr>
            <w:rStyle w:val="Hyperlink"/>
          </w:rPr>
          <w:t>finantsinfo@politsei.ee</w:t>
        </w:r>
      </w:hyperlink>
      <w:r w:rsidR="00EA6163">
        <w:t xml:space="preserve">. Arvel peavad olema märgitud tellija kontaktisiku perekonnanimi, riigihanke viitenumber, hankelepingu number, hankelepingu osa 15-kohaline viitenumber </w:t>
      </w:r>
      <w:r w:rsidR="00EA6163">
        <w:rPr>
          <w:rStyle w:val="BodyTextChar"/>
        </w:rPr>
        <w:t xml:space="preserve">ja projekti kood </w:t>
      </w:r>
      <w:r w:rsidR="00EA6163" w:rsidRPr="001F65AD">
        <w:rPr>
          <w:rStyle w:val="Other"/>
        </w:rPr>
        <w:t>ISF.1.01.23-0008</w:t>
      </w:r>
      <w:r w:rsidR="00EA6163">
        <w:rPr>
          <w:rStyle w:val="Other"/>
        </w:rPr>
        <w:t>.</w:t>
      </w:r>
    </w:p>
    <w:p w14:paraId="491B6D18" w14:textId="77777777" w:rsidR="00291632" w:rsidRPr="00DB54C1" w:rsidRDefault="00AF0876" w:rsidP="003F21F3">
      <w:pPr>
        <w:pStyle w:val="BodyText"/>
        <w:numPr>
          <w:ilvl w:val="1"/>
          <w:numId w:val="2"/>
        </w:numPr>
        <w:tabs>
          <w:tab w:val="left" w:pos="776"/>
        </w:tabs>
        <w:spacing w:after="260"/>
        <w:ind w:firstLine="300"/>
        <w:jc w:val="both"/>
      </w:pPr>
      <w:r w:rsidRPr="00DB54C1">
        <w:rPr>
          <w:rStyle w:val="BodyTextChar"/>
        </w:rPr>
        <w:t>Arve maksetähtaeg on 21 kalendripäeva.</w:t>
      </w:r>
    </w:p>
    <w:p w14:paraId="39C4B102" w14:textId="218782F9" w:rsidR="00291632" w:rsidRPr="00DB54C1" w:rsidRDefault="00AF0876" w:rsidP="00DB54C1">
      <w:pPr>
        <w:pStyle w:val="Heading10"/>
        <w:keepNext/>
        <w:keepLines/>
        <w:numPr>
          <w:ilvl w:val="0"/>
          <w:numId w:val="2"/>
        </w:numPr>
        <w:tabs>
          <w:tab w:val="left" w:pos="658"/>
        </w:tabs>
        <w:spacing w:line="233" w:lineRule="auto"/>
        <w:jc w:val="both"/>
      </w:pPr>
      <w:bookmarkStart w:id="4" w:name="bookmark6"/>
      <w:r w:rsidRPr="00DB54C1">
        <w:rPr>
          <w:rStyle w:val="Heading1"/>
          <w:b/>
          <w:bCs/>
        </w:rPr>
        <w:lastRenderedPageBreak/>
        <w:t>Lepingu kehtivus</w:t>
      </w:r>
      <w:bookmarkEnd w:id="4"/>
      <w:r w:rsidR="00462CBE">
        <w:rPr>
          <w:rStyle w:val="Heading1"/>
          <w:b/>
          <w:bCs/>
        </w:rPr>
        <w:t xml:space="preserve"> ja tõlgendamine</w:t>
      </w:r>
    </w:p>
    <w:p w14:paraId="49C77643" w14:textId="77777777" w:rsidR="00291632" w:rsidRPr="00DB54C1" w:rsidRDefault="00AF0876" w:rsidP="008D0458">
      <w:pPr>
        <w:pStyle w:val="BodyText"/>
        <w:numPr>
          <w:ilvl w:val="1"/>
          <w:numId w:val="2"/>
        </w:numPr>
        <w:tabs>
          <w:tab w:val="left" w:pos="709"/>
        </w:tabs>
        <w:ind w:firstLine="300"/>
        <w:jc w:val="both"/>
      </w:pPr>
      <w:r w:rsidRPr="00DB54C1">
        <w:rPr>
          <w:rStyle w:val="BodyTextChar"/>
        </w:rPr>
        <w:t>Leping jõustub alates hetkest, mil pooled on lepingu allkirjastanud.</w:t>
      </w:r>
    </w:p>
    <w:p w14:paraId="0410CEB2" w14:textId="77777777" w:rsidR="00291632" w:rsidRDefault="00AF0876" w:rsidP="00FD3CDF">
      <w:pPr>
        <w:pStyle w:val="BodyText"/>
        <w:numPr>
          <w:ilvl w:val="1"/>
          <w:numId w:val="2"/>
        </w:numPr>
        <w:tabs>
          <w:tab w:val="left" w:pos="910"/>
        </w:tabs>
        <w:ind w:left="720" w:hanging="420"/>
        <w:jc w:val="both"/>
        <w:rPr>
          <w:rStyle w:val="BodyTextChar"/>
        </w:rPr>
      </w:pPr>
      <w:r w:rsidRPr="00DB54C1">
        <w:rPr>
          <w:rStyle w:val="BodyTextChar"/>
        </w:rPr>
        <w:t>Leping kehtib kuni lepinguliste kohustuste täitmiseni</w:t>
      </w:r>
      <w:r w:rsidRPr="00DB54C1">
        <w:rPr>
          <w:rStyle w:val="BodyTextChar"/>
          <w:b/>
          <w:bCs/>
        </w:rPr>
        <w:t xml:space="preserve">. </w:t>
      </w:r>
      <w:r w:rsidRPr="00DB54C1">
        <w:rPr>
          <w:rStyle w:val="BodyTextChar"/>
        </w:rPr>
        <w:t>Õigused ja kohustused, mis oma olemusest tulenevalt ei sõltu lepingu kehtivusest, jäävad kehtima peale lepingu lõppu.</w:t>
      </w:r>
    </w:p>
    <w:p w14:paraId="4609536B" w14:textId="614C977A" w:rsidR="00462CBE" w:rsidRDefault="00462CBE" w:rsidP="00FD3CDF">
      <w:pPr>
        <w:pStyle w:val="BodyText"/>
        <w:numPr>
          <w:ilvl w:val="1"/>
          <w:numId w:val="2"/>
        </w:numPr>
        <w:tabs>
          <w:tab w:val="left" w:pos="910"/>
        </w:tabs>
        <w:ind w:left="720" w:hanging="420"/>
        <w:jc w:val="both"/>
        <w:rPr>
          <w:rStyle w:val="BodyTextChar"/>
        </w:rPr>
      </w:pPr>
      <w:r>
        <w:rPr>
          <w:rStyle w:val="BodyTextChar"/>
        </w:rPr>
        <w:t>Lepingu tõlgendamisel lähtutakse järgnevast dokumentide prioriteetsusest:</w:t>
      </w:r>
    </w:p>
    <w:p w14:paraId="2D374CC6" w14:textId="4A9460D9" w:rsidR="00462CBE" w:rsidRDefault="008D0458" w:rsidP="00FD3CDF">
      <w:pPr>
        <w:pStyle w:val="BodyText"/>
        <w:numPr>
          <w:ilvl w:val="2"/>
          <w:numId w:val="2"/>
        </w:numPr>
        <w:tabs>
          <w:tab w:val="left" w:pos="910"/>
        </w:tabs>
        <w:ind w:left="720" w:hanging="420"/>
        <w:jc w:val="both"/>
        <w:rPr>
          <w:rStyle w:val="BodyTextChar"/>
        </w:rPr>
      </w:pPr>
      <w:r>
        <w:rPr>
          <w:rStyle w:val="BodyTextChar"/>
        </w:rPr>
        <w:t>käesolev leping</w:t>
      </w:r>
      <w:r w:rsidR="00DC13C6">
        <w:rPr>
          <w:rStyle w:val="BodyTextChar"/>
        </w:rPr>
        <w:t>;</w:t>
      </w:r>
    </w:p>
    <w:p w14:paraId="6BC439C0" w14:textId="345A60A4" w:rsidR="008D0458" w:rsidRDefault="001B52E2" w:rsidP="00FD3CDF">
      <w:pPr>
        <w:pStyle w:val="BodyText"/>
        <w:numPr>
          <w:ilvl w:val="2"/>
          <w:numId w:val="2"/>
        </w:numPr>
        <w:tabs>
          <w:tab w:val="left" w:pos="910"/>
        </w:tabs>
        <w:ind w:left="720" w:hanging="420"/>
        <w:jc w:val="both"/>
        <w:rPr>
          <w:rStyle w:val="BodyTextChar"/>
        </w:rPr>
      </w:pPr>
      <w:proofErr w:type="spellStart"/>
      <w:r>
        <w:rPr>
          <w:rStyle w:val="BodyTextChar"/>
        </w:rPr>
        <w:t>SMITi</w:t>
      </w:r>
      <w:proofErr w:type="spellEnd"/>
      <w:r>
        <w:rPr>
          <w:rStyle w:val="BodyTextChar"/>
        </w:rPr>
        <w:t xml:space="preserve"> </w:t>
      </w:r>
      <w:r w:rsidRPr="00F24BB7">
        <w:t xml:space="preserve">töövõtu-, käsundus- ja müügilepingu </w:t>
      </w:r>
      <w:r>
        <w:t>üldtingimused</w:t>
      </w:r>
      <w:r w:rsidR="00DC13C6">
        <w:t>;</w:t>
      </w:r>
    </w:p>
    <w:p w14:paraId="007F35F7" w14:textId="3C6B6CFD" w:rsidR="008D0458" w:rsidRDefault="008D0458" w:rsidP="008D0458">
      <w:pPr>
        <w:pStyle w:val="BodyText"/>
        <w:numPr>
          <w:ilvl w:val="2"/>
          <w:numId w:val="2"/>
        </w:numPr>
        <w:tabs>
          <w:tab w:val="left" w:pos="910"/>
        </w:tabs>
        <w:ind w:left="720" w:hanging="420"/>
        <w:jc w:val="both"/>
      </w:pPr>
      <w:r>
        <w:t>…</w:t>
      </w:r>
    </w:p>
    <w:p w14:paraId="04ED374F" w14:textId="77777777" w:rsidR="008D0458" w:rsidRPr="00DB54C1" w:rsidRDefault="008D0458" w:rsidP="00FD3CDF">
      <w:pPr>
        <w:pStyle w:val="BodyText"/>
        <w:tabs>
          <w:tab w:val="left" w:pos="910"/>
        </w:tabs>
        <w:jc w:val="both"/>
      </w:pPr>
    </w:p>
    <w:p w14:paraId="13D63ACA" w14:textId="77777777" w:rsidR="00291632" w:rsidRPr="00DB54C1" w:rsidRDefault="00AF0876" w:rsidP="00DB54C1">
      <w:pPr>
        <w:pStyle w:val="Heading10"/>
        <w:keepNext/>
        <w:keepLines/>
        <w:numPr>
          <w:ilvl w:val="0"/>
          <w:numId w:val="2"/>
        </w:numPr>
        <w:tabs>
          <w:tab w:val="left" w:pos="658"/>
        </w:tabs>
        <w:jc w:val="both"/>
      </w:pPr>
      <w:bookmarkStart w:id="5" w:name="bookmark8"/>
      <w:r w:rsidRPr="00DB54C1">
        <w:rPr>
          <w:rStyle w:val="Heading1"/>
          <w:b/>
          <w:bCs/>
        </w:rPr>
        <w:t>Täitja kinnitused</w:t>
      </w:r>
      <w:bookmarkEnd w:id="5"/>
    </w:p>
    <w:p w14:paraId="1C9A0CBC" w14:textId="77777777" w:rsidR="00291632" w:rsidRPr="00DB54C1" w:rsidRDefault="00AF0876" w:rsidP="003F21F3">
      <w:pPr>
        <w:pStyle w:val="BodyText"/>
        <w:numPr>
          <w:ilvl w:val="1"/>
          <w:numId w:val="2"/>
        </w:numPr>
        <w:tabs>
          <w:tab w:val="left" w:pos="831"/>
        </w:tabs>
        <w:ind w:firstLine="300"/>
        <w:jc w:val="both"/>
      </w:pPr>
      <w:r w:rsidRPr="00DB54C1">
        <w:rPr>
          <w:rStyle w:val="BodyTextChar"/>
        </w:rPr>
        <w:t>Täitja avaldab ja kinnitab, et:</w:t>
      </w:r>
    </w:p>
    <w:p w14:paraId="5CE7485C" w14:textId="77777777" w:rsidR="00291632" w:rsidRPr="00DB54C1" w:rsidRDefault="00AF0876" w:rsidP="003F21F3">
      <w:pPr>
        <w:pStyle w:val="BodyText"/>
        <w:numPr>
          <w:ilvl w:val="2"/>
          <w:numId w:val="2"/>
        </w:numPr>
        <w:tabs>
          <w:tab w:val="left" w:pos="1009"/>
        </w:tabs>
        <w:ind w:left="860" w:hanging="560"/>
        <w:jc w:val="both"/>
      </w:pPr>
      <w:r w:rsidRPr="00DB54C1">
        <w:rPr>
          <w:rStyle w:val="BodyTextChar"/>
        </w:rPr>
        <w:t>ta on lepinguga, selle lisadega ja riigihanke alusdokumentidega tutvunud ning mõistab täielikult enesele võetavate kohustuste sisu ja tagajärgi ning on nõus nendes toodud tingimustega;</w:t>
      </w:r>
    </w:p>
    <w:p w14:paraId="79E94A93" w14:textId="77777777" w:rsidR="008B79B9" w:rsidRDefault="00AF0876" w:rsidP="00BE6418">
      <w:pPr>
        <w:pStyle w:val="BodyText"/>
        <w:numPr>
          <w:ilvl w:val="2"/>
          <w:numId w:val="2"/>
        </w:numPr>
        <w:tabs>
          <w:tab w:val="left" w:pos="1009"/>
        </w:tabs>
        <w:ind w:left="721" w:hanging="420"/>
        <w:jc w:val="both"/>
        <w:rPr>
          <w:rStyle w:val="BodyTextChar"/>
        </w:rPr>
      </w:pPr>
      <w:r w:rsidRPr="00DB54C1">
        <w:rPr>
          <w:rStyle w:val="BodyTextChar"/>
        </w:rPr>
        <w:t>lepingu täitmisega ei kahjustata kolmandate isikute õigusi ja huve ning puuduvad mistahes asjaolud, mis välistaksid tema õigusi sõlmida leping ja seda nõuetekohaselt täita</w:t>
      </w:r>
      <w:r w:rsidR="00BE6418">
        <w:rPr>
          <w:rStyle w:val="BodyTextChar"/>
        </w:rPr>
        <w:t>;</w:t>
      </w:r>
    </w:p>
    <w:p w14:paraId="0EC686EA" w14:textId="05C54E5A" w:rsidR="00BE6418" w:rsidRDefault="008B79B9" w:rsidP="00BE6418">
      <w:pPr>
        <w:pStyle w:val="BodyText"/>
        <w:numPr>
          <w:ilvl w:val="2"/>
          <w:numId w:val="2"/>
        </w:numPr>
        <w:tabs>
          <w:tab w:val="left" w:pos="1009"/>
        </w:tabs>
        <w:ind w:left="721" w:hanging="420"/>
        <w:jc w:val="both"/>
        <w:rPr>
          <w:rStyle w:val="BodyTextChar"/>
        </w:rPr>
      </w:pPr>
      <w:r>
        <w:rPr>
          <w:rStyle w:val="BodyTextChar"/>
        </w:rPr>
        <w:t xml:space="preserve">on tutvunud lepingu lahutamatuks osaks olevate </w:t>
      </w:r>
      <w:proofErr w:type="spellStart"/>
      <w:r w:rsidR="00B44622">
        <w:rPr>
          <w:rStyle w:val="BodyTextChar"/>
        </w:rPr>
        <w:t>SMITi</w:t>
      </w:r>
      <w:proofErr w:type="spellEnd"/>
      <w:r w:rsidR="00B44622">
        <w:rPr>
          <w:rStyle w:val="BodyTextChar"/>
        </w:rPr>
        <w:t xml:space="preserve"> </w:t>
      </w:r>
      <w:r w:rsidR="00B44622" w:rsidRPr="00F24BB7">
        <w:t xml:space="preserve">töövõtu-, käsundus- ja müügilepingu </w:t>
      </w:r>
      <w:r w:rsidR="00B44622">
        <w:t>üldtingimustega</w:t>
      </w:r>
      <w:r w:rsidR="00771B0B">
        <w:t xml:space="preserve">, mis on kättesaadavad: </w:t>
      </w:r>
      <w:hyperlink r:id="rId11" w:history="1">
        <w:r w:rsidR="007470C2" w:rsidRPr="003219F0">
          <w:rPr>
            <w:rStyle w:val="Hyperlink"/>
          </w:rPr>
          <w:t>https://www.smit.ee/files/2025-11/smiti-kaesundus-toeoevotu-ja-mueuegilepingute-ueldtingimused-17.11.2025-.pdf?0e5a56c3e2</w:t>
        </w:r>
      </w:hyperlink>
      <w:r>
        <w:rPr>
          <w:rStyle w:val="BodyTextChar"/>
        </w:rPr>
        <w:t>;</w:t>
      </w:r>
      <w:r w:rsidR="00BE6418">
        <w:rPr>
          <w:rStyle w:val="BodyTextChar"/>
        </w:rPr>
        <w:t xml:space="preserve"> </w:t>
      </w:r>
    </w:p>
    <w:p w14:paraId="2FCFD6E0" w14:textId="28744058" w:rsidR="00291632" w:rsidRPr="000E5DCF" w:rsidRDefault="00BE6418" w:rsidP="00BE6418">
      <w:pPr>
        <w:pStyle w:val="BodyText"/>
        <w:numPr>
          <w:ilvl w:val="2"/>
          <w:numId w:val="2"/>
        </w:numPr>
        <w:tabs>
          <w:tab w:val="left" w:pos="1009"/>
        </w:tabs>
        <w:ind w:left="721" w:hanging="420"/>
        <w:jc w:val="both"/>
        <w:rPr>
          <w:rStyle w:val="BodyTextChar"/>
        </w:rPr>
      </w:pPr>
      <w:r w:rsidRPr="000E5DCF">
        <w:rPr>
          <w:rStyle w:val="BodyTextChar"/>
        </w:rPr>
        <w:t xml:space="preserve">esitab hankelepingu täitmise alustamise ajaks iga oma alltöövõtja nime, registrikoodi, kontaktandmed, teabe nende seaduslike esindajate kohta ning </w:t>
      </w:r>
      <w:proofErr w:type="spellStart"/>
      <w:r w:rsidRPr="000E5DCF">
        <w:rPr>
          <w:rStyle w:val="BodyTextChar"/>
        </w:rPr>
        <w:t>alltöövõtulepingu</w:t>
      </w:r>
      <w:proofErr w:type="spellEnd"/>
      <w:r w:rsidRPr="000E5DCF">
        <w:rPr>
          <w:rStyle w:val="BodyTextChar"/>
        </w:rPr>
        <w:t xml:space="preserve"> nimetuse, kuupäeva, numbri ja summa. Samad andmed esitab täitja iga hankelepingu täitmisel lisanduva alltöövõtja kohta</w:t>
      </w:r>
      <w:r w:rsidR="00AF0876" w:rsidRPr="000E5DCF">
        <w:rPr>
          <w:rStyle w:val="BodyTextChar"/>
        </w:rPr>
        <w:t>.</w:t>
      </w:r>
    </w:p>
    <w:p w14:paraId="327B80BF" w14:textId="77777777" w:rsidR="00BE6418" w:rsidRPr="00DB54C1" w:rsidRDefault="00BE6418" w:rsidP="00BE6418">
      <w:pPr>
        <w:pStyle w:val="BodyText"/>
        <w:tabs>
          <w:tab w:val="left" w:pos="1009"/>
        </w:tabs>
        <w:ind w:left="301"/>
        <w:jc w:val="both"/>
      </w:pPr>
    </w:p>
    <w:p w14:paraId="537326F7" w14:textId="77777777" w:rsidR="00291632" w:rsidRPr="00DB54C1" w:rsidRDefault="00AF0876" w:rsidP="00DB54C1">
      <w:pPr>
        <w:pStyle w:val="Heading10"/>
        <w:keepNext/>
        <w:keepLines/>
        <w:numPr>
          <w:ilvl w:val="0"/>
          <w:numId w:val="2"/>
        </w:numPr>
        <w:tabs>
          <w:tab w:val="left" w:pos="658"/>
        </w:tabs>
        <w:jc w:val="both"/>
      </w:pPr>
      <w:bookmarkStart w:id="6" w:name="bookmark10"/>
      <w:r w:rsidRPr="00DB54C1">
        <w:rPr>
          <w:rStyle w:val="Heading1"/>
          <w:b/>
          <w:bCs/>
        </w:rPr>
        <w:t>Lepingu lisad</w:t>
      </w:r>
      <w:bookmarkEnd w:id="6"/>
    </w:p>
    <w:p w14:paraId="47761B56" w14:textId="0CCBBCD8" w:rsidR="00291632" w:rsidRPr="00B80D47" w:rsidRDefault="00AF0876" w:rsidP="00DB54C1">
      <w:pPr>
        <w:pStyle w:val="BodyText"/>
        <w:numPr>
          <w:ilvl w:val="1"/>
          <w:numId w:val="2"/>
        </w:numPr>
        <w:tabs>
          <w:tab w:val="left" w:pos="836"/>
        </w:tabs>
        <w:ind w:firstLine="300"/>
        <w:jc w:val="both"/>
        <w:rPr>
          <w:i/>
          <w:iCs/>
        </w:rPr>
      </w:pPr>
      <w:r w:rsidRPr="00B80D47">
        <w:rPr>
          <w:rStyle w:val="BodyTextChar"/>
          <w:i/>
          <w:iCs/>
        </w:rPr>
        <w:t xml:space="preserve">Lisa </w:t>
      </w:r>
      <w:r w:rsidR="00771B0B">
        <w:rPr>
          <w:rStyle w:val="BodyTextChar"/>
          <w:i/>
          <w:iCs/>
        </w:rPr>
        <w:t>1</w:t>
      </w:r>
      <w:r w:rsidRPr="00B80D47">
        <w:rPr>
          <w:rStyle w:val="BodyTextChar"/>
          <w:i/>
          <w:iCs/>
        </w:rPr>
        <w:t xml:space="preserve"> </w:t>
      </w:r>
      <w:r w:rsidR="00612E16" w:rsidRPr="00B80D47">
        <w:rPr>
          <w:rStyle w:val="BodyTextChar"/>
          <w:i/>
          <w:iCs/>
        </w:rPr>
        <w:t>–</w:t>
      </w:r>
      <w:r w:rsidRPr="00B80D47">
        <w:rPr>
          <w:rStyle w:val="BodyTextChar"/>
          <w:i/>
          <w:iCs/>
        </w:rPr>
        <w:t xml:space="preserve"> tellija tehniline kirjeldus;</w:t>
      </w:r>
    </w:p>
    <w:p w14:paraId="27FFE7B9" w14:textId="1B9D4837" w:rsidR="00612E16" w:rsidRPr="00B80D47" w:rsidRDefault="00AF0876" w:rsidP="00DB54C1">
      <w:pPr>
        <w:pStyle w:val="BodyText"/>
        <w:numPr>
          <w:ilvl w:val="1"/>
          <w:numId w:val="2"/>
        </w:numPr>
        <w:tabs>
          <w:tab w:val="left" w:pos="836"/>
        </w:tabs>
        <w:ind w:firstLine="300"/>
        <w:jc w:val="both"/>
        <w:rPr>
          <w:rStyle w:val="BodyTextChar"/>
          <w:i/>
          <w:iCs/>
        </w:rPr>
      </w:pPr>
      <w:r w:rsidRPr="00B80D47">
        <w:rPr>
          <w:rStyle w:val="BodyTextChar"/>
          <w:i/>
          <w:iCs/>
        </w:rPr>
        <w:t xml:space="preserve">Lisa </w:t>
      </w:r>
      <w:r w:rsidR="00771B0B">
        <w:rPr>
          <w:rStyle w:val="BodyTextChar"/>
          <w:i/>
          <w:iCs/>
        </w:rPr>
        <w:t>2</w:t>
      </w:r>
      <w:r w:rsidRPr="00B80D47">
        <w:rPr>
          <w:rStyle w:val="BodyTextChar"/>
          <w:i/>
          <w:iCs/>
        </w:rPr>
        <w:t xml:space="preserve"> </w:t>
      </w:r>
      <w:r w:rsidR="00612E16" w:rsidRPr="00B80D47">
        <w:rPr>
          <w:rStyle w:val="BodyTextChar"/>
          <w:i/>
          <w:iCs/>
        </w:rPr>
        <w:t>–</w:t>
      </w:r>
      <w:r w:rsidRPr="00B80D47">
        <w:rPr>
          <w:rStyle w:val="BodyTextChar"/>
          <w:i/>
          <w:iCs/>
        </w:rPr>
        <w:t xml:space="preserve"> täitja pakkumus</w:t>
      </w:r>
      <w:r w:rsidR="00612E16" w:rsidRPr="00B80D47">
        <w:rPr>
          <w:rStyle w:val="BodyTextChar"/>
          <w:i/>
          <w:iCs/>
        </w:rPr>
        <w:t>;</w:t>
      </w:r>
    </w:p>
    <w:p w14:paraId="19039B98" w14:textId="58FCE9DB" w:rsidR="00291632" w:rsidRPr="00DB54C1" w:rsidRDefault="00612E16" w:rsidP="00DB54C1">
      <w:pPr>
        <w:pStyle w:val="BodyText"/>
        <w:numPr>
          <w:ilvl w:val="1"/>
          <w:numId w:val="2"/>
        </w:numPr>
        <w:tabs>
          <w:tab w:val="left" w:pos="836"/>
        </w:tabs>
        <w:ind w:firstLine="300"/>
        <w:jc w:val="both"/>
      </w:pPr>
      <w:r>
        <w:rPr>
          <w:rStyle w:val="BodyTextChar"/>
        </w:rPr>
        <w:t xml:space="preserve">... </w:t>
      </w:r>
      <w:r w:rsidR="002346D4">
        <w:rPr>
          <w:rStyle w:val="BodyTextChar"/>
        </w:rPr>
        <w:t>.</w:t>
      </w:r>
    </w:p>
    <w:p w14:paraId="73CC3B42" w14:textId="77777777" w:rsidR="002346D4" w:rsidRDefault="002346D4">
      <w:pPr>
        <w:pStyle w:val="BodyText"/>
        <w:ind w:firstLine="300"/>
        <w:rPr>
          <w:rStyle w:val="BodyTextChar"/>
          <w:i/>
          <w:iCs/>
        </w:rPr>
      </w:pPr>
    </w:p>
    <w:p w14:paraId="2FA3A9BB" w14:textId="7606893F" w:rsidR="00291632" w:rsidRDefault="00AF0876">
      <w:pPr>
        <w:pStyle w:val="BodyText"/>
        <w:ind w:firstLine="300"/>
      </w:pPr>
      <w:r>
        <w:rPr>
          <w:rStyle w:val="BodyTextChar"/>
          <w:i/>
          <w:iCs/>
        </w:rPr>
        <w:t>Leping on koostatud ja allkirjastatud digitaalselt</w:t>
      </w:r>
      <w:bookmarkEnd w:id="0"/>
    </w:p>
    <w:sectPr w:rsidR="00291632">
      <w:pgSz w:w="11900" w:h="16840"/>
      <w:pgMar w:top="1395" w:right="1253" w:bottom="1243" w:left="1100" w:header="967" w:footer="8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20E2" w14:textId="77777777" w:rsidR="003F1DBC" w:rsidRDefault="003F1DBC">
      <w:r>
        <w:separator/>
      </w:r>
    </w:p>
  </w:endnote>
  <w:endnote w:type="continuationSeparator" w:id="0">
    <w:p w14:paraId="3E698D84" w14:textId="77777777" w:rsidR="003F1DBC" w:rsidRDefault="003F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D85C" w14:textId="77777777" w:rsidR="003F1DBC" w:rsidRDefault="003F1DBC"/>
  </w:footnote>
  <w:footnote w:type="continuationSeparator" w:id="0">
    <w:p w14:paraId="5D812A9B" w14:textId="77777777" w:rsidR="003F1DBC" w:rsidRDefault="003F1D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7E4"/>
    <w:multiLevelType w:val="hybridMultilevel"/>
    <w:tmpl w:val="DF72DA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790D10"/>
    <w:multiLevelType w:val="hybridMultilevel"/>
    <w:tmpl w:val="BA444C5E"/>
    <w:lvl w:ilvl="0" w:tplc="02D29038">
      <w:start w:val="1"/>
      <w:numFmt w:val="decimal"/>
      <w:lvlText w:val="%1)"/>
      <w:lvlJc w:val="left"/>
      <w:pPr>
        <w:ind w:left="1020" w:hanging="360"/>
      </w:pPr>
    </w:lvl>
    <w:lvl w:ilvl="1" w:tplc="35C4ECE2">
      <w:start w:val="1"/>
      <w:numFmt w:val="decimal"/>
      <w:lvlText w:val="%2)"/>
      <w:lvlJc w:val="left"/>
      <w:pPr>
        <w:ind w:left="1020" w:hanging="360"/>
      </w:pPr>
    </w:lvl>
    <w:lvl w:ilvl="2" w:tplc="1960F806">
      <w:start w:val="1"/>
      <w:numFmt w:val="decimal"/>
      <w:lvlText w:val="%3)"/>
      <w:lvlJc w:val="left"/>
      <w:pPr>
        <w:ind w:left="1020" w:hanging="360"/>
      </w:pPr>
    </w:lvl>
    <w:lvl w:ilvl="3" w:tplc="A94AEB4A">
      <w:start w:val="1"/>
      <w:numFmt w:val="decimal"/>
      <w:lvlText w:val="%4)"/>
      <w:lvlJc w:val="left"/>
      <w:pPr>
        <w:ind w:left="1020" w:hanging="360"/>
      </w:pPr>
    </w:lvl>
    <w:lvl w:ilvl="4" w:tplc="1C84492E">
      <w:start w:val="1"/>
      <w:numFmt w:val="decimal"/>
      <w:lvlText w:val="%5)"/>
      <w:lvlJc w:val="left"/>
      <w:pPr>
        <w:ind w:left="1020" w:hanging="360"/>
      </w:pPr>
    </w:lvl>
    <w:lvl w:ilvl="5" w:tplc="DD4EBE70">
      <w:start w:val="1"/>
      <w:numFmt w:val="decimal"/>
      <w:lvlText w:val="%6)"/>
      <w:lvlJc w:val="left"/>
      <w:pPr>
        <w:ind w:left="1020" w:hanging="360"/>
      </w:pPr>
    </w:lvl>
    <w:lvl w:ilvl="6" w:tplc="881C0CF0">
      <w:start w:val="1"/>
      <w:numFmt w:val="decimal"/>
      <w:lvlText w:val="%7)"/>
      <w:lvlJc w:val="left"/>
      <w:pPr>
        <w:ind w:left="1020" w:hanging="360"/>
      </w:pPr>
    </w:lvl>
    <w:lvl w:ilvl="7" w:tplc="9BEC19B0">
      <w:start w:val="1"/>
      <w:numFmt w:val="decimal"/>
      <w:lvlText w:val="%8)"/>
      <w:lvlJc w:val="left"/>
      <w:pPr>
        <w:ind w:left="1020" w:hanging="360"/>
      </w:pPr>
    </w:lvl>
    <w:lvl w:ilvl="8" w:tplc="EE8C1A80">
      <w:start w:val="1"/>
      <w:numFmt w:val="decimal"/>
      <w:lvlText w:val="%9)"/>
      <w:lvlJc w:val="left"/>
      <w:pPr>
        <w:ind w:left="1020" w:hanging="360"/>
      </w:pPr>
    </w:lvl>
  </w:abstractNum>
  <w:abstractNum w:abstractNumId="2" w15:restartNumberingAfterBreak="0">
    <w:nsid w:val="284810CD"/>
    <w:multiLevelType w:val="hybridMultilevel"/>
    <w:tmpl w:val="67966746"/>
    <w:lvl w:ilvl="0" w:tplc="4F9EDCD6">
      <w:start w:val="1"/>
      <w:numFmt w:val="decimal"/>
      <w:lvlText w:val="%1)"/>
      <w:lvlJc w:val="left"/>
      <w:pPr>
        <w:ind w:left="1020" w:hanging="360"/>
      </w:pPr>
    </w:lvl>
    <w:lvl w:ilvl="1" w:tplc="C1EABCCA">
      <w:start w:val="1"/>
      <w:numFmt w:val="decimal"/>
      <w:lvlText w:val="%2)"/>
      <w:lvlJc w:val="left"/>
      <w:pPr>
        <w:ind w:left="1020" w:hanging="360"/>
      </w:pPr>
    </w:lvl>
    <w:lvl w:ilvl="2" w:tplc="32600ABE">
      <w:start w:val="1"/>
      <w:numFmt w:val="decimal"/>
      <w:lvlText w:val="%3)"/>
      <w:lvlJc w:val="left"/>
      <w:pPr>
        <w:ind w:left="1020" w:hanging="360"/>
      </w:pPr>
    </w:lvl>
    <w:lvl w:ilvl="3" w:tplc="55620216">
      <w:start w:val="1"/>
      <w:numFmt w:val="decimal"/>
      <w:lvlText w:val="%4)"/>
      <w:lvlJc w:val="left"/>
      <w:pPr>
        <w:ind w:left="1020" w:hanging="360"/>
      </w:pPr>
    </w:lvl>
    <w:lvl w:ilvl="4" w:tplc="6144C91A">
      <w:start w:val="1"/>
      <w:numFmt w:val="decimal"/>
      <w:lvlText w:val="%5)"/>
      <w:lvlJc w:val="left"/>
      <w:pPr>
        <w:ind w:left="1020" w:hanging="360"/>
      </w:pPr>
    </w:lvl>
    <w:lvl w:ilvl="5" w:tplc="75F0DB2E">
      <w:start w:val="1"/>
      <w:numFmt w:val="decimal"/>
      <w:lvlText w:val="%6)"/>
      <w:lvlJc w:val="left"/>
      <w:pPr>
        <w:ind w:left="1020" w:hanging="360"/>
      </w:pPr>
    </w:lvl>
    <w:lvl w:ilvl="6" w:tplc="02EC5A6E">
      <w:start w:val="1"/>
      <w:numFmt w:val="decimal"/>
      <w:lvlText w:val="%7)"/>
      <w:lvlJc w:val="left"/>
      <w:pPr>
        <w:ind w:left="1020" w:hanging="360"/>
      </w:pPr>
    </w:lvl>
    <w:lvl w:ilvl="7" w:tplc="A75AD44A">
      <w:start w:val="1"/>
      <w:numFmt w:val="decimal"/>
      <w:lvlText w:val="%8)"/>
      <w:lvlJc w:val="left"/>
      <w:pPr>
        <w:ind w:left="1020" w:hanging="360"/>
      </w:pPr>
    </w:lvl>
    <w:lvl w:ilvl="8" w:tplc="BA0CD8D0">
      <w:start w:val="1"/>
      <w:numFmt w:val="decimal"/>
      <w:lvlText w:val="%9)"/>
      <w:lvlJc w:val="left"/>
      <w:pPr>
        <w:ind w:left="1020" w:hanging="360"/>
      </w:pPr>
    </w:lvl>
  </w:abstractNum>
  <w:abstractNum w:abstractNumId="3" w15:restartNumberingAfterBreak="0">
    <w:nsid w:val="41981F33"/>
    <w:multiLevelType w:val="multilevel"/>
    <w:tmpl w:val="4A4E0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84943"/>
    <w:multiLevelType w:val="multilevel"/>
    <w:tmpl w:val="51B87A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E2A8D"/>
    <w:multiLevelType w:val="hybridMultilevel"/>
    <w:tmpl w:val="C7F44E46"/>
    <w:lvl w:ilvl="0" w:tplc="37BA289A">
      <w:start w:val="1"/>
      <w:numFmt w:val="decimal"/>
      <w:lvlText w:val="%1."/>
      <w:lvlJc w:val="left"/>
      <w:pPr>
        <w:ind w:left="720" w:hanging="360"/>
      </w:pPr>
      <w:rPr>
        <w:i w:val="0"/>
        <w:i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76808628">
    <w:abstractNumId w:val="3"/>
  </w:num>
  <w:num w:numId="2" w16cid:durableId="1892112205">
    <w:abstractNumId w:val="4"/>
  </w:num>
  <w:num w:numId="3" w16cid:durableId="1596984196">
    <w:abstractNumId w:val="5"/>
  </w:num>
  <w:num w:numId="4" w16cid:durableId="1272474751">
    <w:abstractNumId w:val="0"/>
  </w:num>
  <w:num w:numId="5" w16cid:durableId="653490754">
    <w:abstractNumId w:val="2"/>
  </w:num>
  <w:num w:numId="6" w16cid:durableId="208217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32"/>
    <w:rsid w:val="00020A2C"/>
    <w:rsid w:val="0004217B"/>
    <w:rsid w:val="000447A0"/>
    <w:rsid w:val="00081844"/>
    <w:rsid w:val="00090271"/>
    <w:rsid w:val="000A0E3D"/>
    <w:rsid w:val="000B43CB"/>
    <w:rsid w:val="000C6285"/>
    <w:rsid w:val="000E5DCF"/>
    <w:rsid w:val="000F2DD8"/>
    <w:rsid w:val="0011297E"/>
    <w:rsid w:val="001465D2"/>
    <w:rsid w:val="00150AC3"/>
    <w:rsid w:val="00167193"/>
    <w:rsid w:val="001A1A86"/>
    <w:rsid w:val="001B52E2"/>
    <w:rsid w:val="001D6E7C"/>
    <w:rsid w:val="001F4306"/>
    <w:rsid w:val="001F65AD"/>
    <w:rsid w:val="00201028"/>
    <w:rsid w:val="002029DF"/>
    <w:rsid w:val="00224A4D"/>
    <w:rsid w:val="0022605D"/>
    <w:rsid w:val="002346D4"/>
    <w:rsid w:val="00240D9F"/>
    <w:rsid w:val="00245FA2"/>
    <w:rsid w:val="00291632"/>
    <w:rsid w:val="00295CD0"/>
    <w:rsid w:val="002A39FD"/>
    <w:rsid w:val="002C0948"/>
    <w:rsid w:val="002D3C77"/>
    <w:rsid w:val="002E0E1D"/>
    <w:rsid w:val="002F2C38"/>
    <w:rsid w:val="00311AAC"/>
    <w:rsid w:val="00320209"/>
    <w:rsid w:val="00326525"/>
    <w:rsid w:val="00362EC9"/>
    <w:rsid w:val="003D7F89"/>
    <w:rsid w:val="003F1DBC"/>
    <w:rsid w:val="003F21F3"/>
    <w:rsid w:val="003F2FA2"/>
    <w:rsid w:val="003F2FFC"/>
    <w:rsid w:val="00462CBE"/>
    <w:rsid w:val="00463E60"/>
    <w:rsid w:val="004866BC"/>
    <w:rsid w:val="004A01DA"/>
    <w:rsid w:val="004A3CB3"/>
    <w:rsid w:val="004D1158"/>
    <w:rsid w:val="004E396C"/>
    <w:rsid w:val="004F0B1A"/>
    <w:rsid w:val="00507642"/>
    <w:rsid w:val="00511A0E"/>
    <w:rsid w:val="005351BE"/>
    <w:rsid w:val="005639B6"/>
    <w:rsid w:val="005958E7"/>
    <w:rsid w:val="005A0FEC"/>
    <w:rsid w:val="005F36A0"/>
    <w:rsid w:val="00601802"/>
    <w:rsid w:val="00612E16"/>
    <w:rsid w:val="00627F63"/>
    <w:rsid w:val="006409E3"/>
    <w:rsid w:val="00653371"/>
    <w:rsid w:val="006856FF"/>
    <w:rsid w:val="00693F39"/>
    <w:rsid w:val="006A5A2B"/>
    <w:rsid w:val="007356F5"/>
    <w:rsid w:val="00744B48"/>
    <w:rsid w:val="007470C2"/>
    <w:rsid w:val="00771B0B"/>
    <w:rsid w:val="0079767F"/>
    <w:rsid w:val="007A3136"/>
    <w:rsid w:val="007C413E"/>
    <w:rsid w:val="007E6177"/>
    <w:rsid w:val="007F008E"/>
    <w:rsid w:val="007F19EA"/>
    <w:rsid w:val="007F39B6"/>
    <w:rsid w:val="00804DDC"/>
    <w:rsid w:val="0081233A"/>
    <w:rsid w:val="008131F0"/>
    <w:rsid w:val="008163EB"/>
    <w:rsid w:val="00816D48"/>
    <w:rsid w:val="00835FAE"/>
    <w:rsid w:val="00873D4D"/>
    <w:rsid w:val="008A5252"/>
    <w:rsid w:val="008B6A6D"/>
    <w:rsid w:val="008B79B9"/>
    <w:rsid w:val="008C1830"/>
    <w:rsid w:val="008D0458"/>
    <w:rsid w:val="008D76A5"/>
    <w:rsid w:val="008E0DE3"/>
    <w:rsid w:val="008F143C"/>
    <w:rsid w:val="008F20B2"/>
    <w:rsid w:val="00917B2D"/>
    <w:rsid w:val="009410DB"/>
    <w:rsid w:val="009445F9"/>
    <w:rsid w:val="00953594"/>
    <w:rsid w:val="009739FD"/>
    <w:rsid w:val="009A1138"/>
    <w:rsid w:val="009A55FD"/>
    <w:rsid w:val="009C1287"/>
    <w:rsid w:val="009D5C60"/>
    <w:rsid w:val="009F1CB9"/>
    <w:rsid w:val="00A45E24"/>
    <w:rsid w:val="00A572AA"/>
    <w:rsid w:val="00A86C6F"/>
    <w:rsid w:val="00AB64F1"/>
    <w:rsid w:val="00AC17CE"/>
    <w:rsid w:val="00AF0876"/>
    <w:rsid w:val="00AF2C08"/>
    <w:rsid w:val="00B1613B"/>
    <w:rsid w:val="00B3781D"/>
    <w:rsid w:val="00B44083"/>
    <w:rsid w:val="00B44622"/>
    <w:rsid w:val="00B554DB"/>
    <w:rsid w:val="00B80D47"/>
    <w:rsid w:val="00B815BE"/>
    <w:rsid w:val="00B97E34"/>
    <w:rsid w:val="00BA1FC4"/>
    <w:rsid w:val="00BC417E"/>
    <w:rsid w:val="00BC5A2E"/>
    <w:rsid w:val="00BE5BD5"/>
    <w:rsid w:val="00BE6418"/>
    <w:rsid w:val="00BF1014"/>
    <w:rsid w:val="00BF65D4"/>
    <w:rsid w:val="00C022C9"/>
    <w:rsid w:val="00C13EF4"/>
    <w:rsid w:val="00C32FEB"/>
    <w:rsid w:val="00C43CF6"/>
    <w:rsid w:val="00C627E4"/>
    <w:rsid w:val="00C7364B"/>
    <w:rsid w:val="00C77FAC"/>
    <w:rsid w:val="00C8793B"/>
    <w:rsid w:val="00C94BD6"/>
    <w:rsid w:val="00CA167E"/>
    <w:rsid w:val="00CA3367"/>
    <w:rsid w:val="00CC173A"/>
    <w:rsid w:val="00CC71BE"/>
    <w:rsid w:val="00CD506E"/>
    <w:rsid w:val="00CE51E4"/>
    <w:rsid w:val="00CE6B22"/>
    <w:rsid w:val="00D03F10"/>
    <w:rsid w:val="00D05D43"/>
    <w:rsid w:val="00D365C1"/>
    <w:rsid w:val="00D4568A"/>
    <w:rsid w:val="00D8770B"/>
    <w:rsid w:val="00D97DFD"/>
    <w:rsid w:val="00DB06BE"/>
    <w:rsid w:val="00DB263D"/>
    <w:rsid w:val="00DB26A3"/>
    <w:rsid w:val="00DB54C1"/>
    <w:rsid w:val="00DC13C6"/>
    <w:rsid w:val="00DF50BE"/>
    <w:rsid w:val="00E064F3"/>
    <w:rsid w:val="00E32CCC"/>
    <w:rsid w:val="00E40FF8"/>
    <w:rsid w:val="00EA54EA"/>
    <w:rsid w:val="00EA6163"/>
    <w:rsid w:val="00EB61AC"/>
    <w:rsid w:val="00EF325A"/>
    <w:rsid w:val="00EF55A7"/>
    <w:rsid w:val="00F10CDA"/>
    <w:rsid w:val="00F208A4"/>
    <w:rsid w:val="00F3174E"/>
    <w:rsid w:val="00F4763B"/>
    <w:rsid w:val="00F54E70"/>
    <w:rsid w:val="00F606F6"/>
    <w:rsid w:val="00F63AA0"/>
    <w:rsid w:val="00F660ED"/>
    <w:rsid w:val="00F70A0A"/>
    <w:rsid w:val="00F71B2E"/>
    <w:rsid w:val="00F741C7"/>
    <w:rsid w:val="00F77395"/>
    <w:rsid w:val="00FB2327"/>
    <w:rsid w:val="00FB2EBC"/>
    <w:rsid w:val="00FC3C78"/>
    <w:rsid w:val="00FC5642"/>
    <w:rsid w:val="00FC73FE"/>
    <w:rsid w:val="00FD2562"/>
    <w:rsid w:val="00FD3C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5848"/>
  <w15:docId w15:val="{DA2041B3-5738-4AC8-9365-2578A9AD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Heading10">
    <w:name w:val="Heading #1"/>
    <w:basedOn w:val="Normal"/>
    <w:link w:val="Heading1"/>
    <w:pPr>
      <w:ind w:firstLine="300"/>
      <w:outlineLvl w:val="0"/>
    </w:pPr>
    <w:rPr>
      <w:rFonts w:ascii="Times New Roman" w:eastAsia="Times New Roman" w:hAnsi="Times New Roman" w:cs="Times New Roman"/>
      <w:b/>
      <w:bCs/>
    </w:rPr>
  </w:style>
  <w:style w:type="paragraph" w:styleId="BodyText">
    <w:name w:val="Body Text"/>
    <w:basedOn w:val="Normal"/>
    <w:link w:val="BodyTextChar"/>
    <w:qFormat/>
    <w:rPr>
      <w:rFonts w:ascii="Times New Roman" w:eastAsia="Times New Roman" w:hAnsi="Times New Roman" w:cs="Times New Roman"/>
    </w:rPr>
  </w:style>
  <w:style w:type="character" w:styleId="Hyperlink">
    <w:name w:val="Hyperlink"/>
    <w:basedOn w:val="DefaultParagraphFont"/>
    <w:uiPriority w:val="99"/>
    <w:unhideWhenUsed/>
    <w:rsid w:val="00C022C9"/>
    <w:rPr>
      <w:color w:val="0563C1" w:themeColor="hyperlink"/>
      <w:u w:val="single"/>
    </w:rPr>
  </w:style>
  <w:style w:type="character" w:styleId="UnresolvedMention">
    <w:name w:val="Unresolved Mention"/>
    <w:basedOn w:val="DefaultParagraphFont"/>
    <w:uiPriority w:val="99"/>
    <w:semiHidden/>
    <w:unhideWhenUsed/>
    <w:rsid w:val="00C022C9"/>
    <w:rPr>
      <w:color w:val="605E5C"/>
      <w:shd w:val="clear" w:color="auto" w:fill="E1DFDD"/>
    </w:rPr>
  </w:style>
  <w:style w:type="paragraph" w:styleId="ListParagraph">
    <w:name w:val="List Paragraph"/>
    <w:basedOn w:val="Normal"/>
    <w:uiPriority w:val="34"/>
    <w:qFormat/>
    <w:rsid w:val="00F208A4"/>
    <w:pPr>
      <w:ind w:left="720"/>
      <w:contextualSpacing/>
    </w:pPr>
  </w:style>
  <w:style w:type="character" w:styleId="CommentReference">
    <w:name w:val="annotation reference"/>
    <w:basedOn w:val="DefaultParagraphFont"/>
    <w:uiPriority w:val="99"/>
    <w:semiHidden/>
    <w:unhideWhenUsed/>
    <w:rsid w:val="00F208A4"/>
    <w:rPr>
      <w:sz w:val="16"/>
      <w:szCs w:val="16"/>
    </w:rPr>
  </w:style>
  <w:style w:type="paragraph" w:styleId="CommentText">
    <w:name w:val="annotation text"/>
    <w:basedOn w:val="Normal"/>
    <w:link w:val="CommentTextChar"/>
    <w:uiPriority w:val="99"/>
    <w:unhideWhenUsed/>
    <w:rsid w:val="00F208A4"/>
    <w:rPr>
      <w:sz w:val="20"/>
      <w:szCs w:val="20"/>
    </w:rPr>
  </w:style>
  <w:style w:type="character" w:customStyle="1" w:styleId="CommentTextChar">
    <w:name w:val="Comment Text Char"/>
    <w:basedOn w:val="DefaultParagraphFont"/>
    <w:link w:val="CommentText"/>
    <w:uiPriority w:val="99"/>
    <w:rsid w:val="00F208A4"/>
    <w:rPr>
      <w:color w:val="000000"/>
      <w:sz w:val="20"/>
      <w:szCs w:val="20"/>
    </w:rPr>
  </w:style>
  <w:style w:type="paragraph" w:styleId="CommentSubject">
    <w:name w:val="annotation subject"/>
    <w:basedOn w:val="CommentText"/>
    <w:next w:val="CommentText"/>
    <w:link w:val="CommentSubjectChar"/>
    <w:uiPriority w:val="99"/>
    <w:semiHidden/>
    <w:unhideWhenUsed/>
    <w:rsid w:val="001F65AD"/>
    <w:rPr>
      <w:b/>
      <w:bCs/>
    </w:rPr>
  </w:style>
  <w:style w:type="character" w:customStyle="1" w:styleId="CommentSubjectChar">
    <w:name w:val="Comment Subject Char"/>
    <w:basedOn w:val="CommentTextChar"/>
    <w:link w:val="CommentSubject"/>
    <w:uiPriority w:val="99"/>
    <w:semiHidden/>
    <w:rsid w:val="001F65AD"/>
    <w:rPr>
      <w:b/>
      <w:bCs/>
      <w:color w:val="000000"/>
      <w:sz w:val="20"/>
      <w:szCs w:val="20"/>
    </w:rPr>
  </w:style>
  <w:style w:type="paragraph" w:styleId="Revision">
    <w:name w:val="Revision"/>
    <w:hidden/>
    <w:uiPriority w:val="99"/>
    <w:semiHidden/>
    <w:rsid w:val="007356F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lver.metsatsirk@smi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it.ee/files/2025-11/smiti-kaesundus-toeoevotu-ja-mueuegilepingute-ueldtingimused-17.11.2025-.pdf?0e5a56c3e2" TargetMode="External"/><Relationship Id="rId5" Type="http://schemas.openxmlformats.org/officeDocument/2006/relationships/webSettings" Target="webSettings.xml"/><Relationship Id="rId10" Type="http://schemas.openxmlformats.org/officeDocument/2006/relationships/hyperlink" Target="mailto:finantsinfo@politsei.ee" TargetMode="External"/><Relationship Id="rId4" Type="http://schemas.openxmlformats.org/officeDocument/2006/relationships/settings" Target="settings.xml"/><Relationship Id="rId9" Type="http://schemas.openxmlformats.org/officeDocument/2006/relationships/hyperlink" Target="mailto:tarvo.keskyla@sm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84E0-637C-4074-A646-95BCE876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1070</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Sokmann</dc:creator>
  <cp:keywords/>
  <cp:lastModifiedBy>Teele Sõber</cp:lastModifiedBy>
  <cp:revision>131</cp:revision>
  <dcterms:created xsi:type="dcterms:W3CDTF">2024-12-13T10:01:00Z</dcterms:created>
  <dcterms:modified xsi:type="dcterms:W3CDTF">2026-01-16T12:33:00Z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2025-12-18T08:09:05Z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9b9c6f5e-ede5-4a05-8e30-b70c6c1f1fa7</vt:lpwstr>
  </property>
  <property fmtid="{D5CDD505-2E9C-101B-9397-08002B2CF9AE}" pid="8" name="MSIP_Label_0839a55c-41b7-435a-93b8-5b74de89c461_ContentBits">
    <vt:lpwstr>0</vt:lpwstr>
  </property>
</Properties>
</file>